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B426C" w14:textId="6D661C56" w:rsidR="001906A8" w:rsidRPr="00F20ABF" w:rsidRDefault="00DD5A5F" w:rsidP="00410979">
      <w:pPr>
        <w:spacing w:after="120" w:line="288" w:lineRule="auto"/>
        <w:jc w:val="both"/>
        <w:rPr>
          <w:rFonts w:ascii="Arial" w:hAnsi="Arial"/>
        </w:rPr>
      </w:pPr>
      <w:r>
        <w:rPr>
          <w:rFonts w:ascii="Arial" w:hAnsi="Arial"/>
        </w:rPr>
        <w:t xml:space="preserve">Innovation: </w:t>
      </w:r>
      <w:r w:rsidR="00363954" w:rsidRPr="00F20ABF">
        <w:rPr>
          <w:rFonts w:ascii="Arial" w:hAnsi="Arial"/>
        </w:rPr>
        <w:t xml:space="preserve">DMG MORI </w:t>
      </w:r>
      <w:r w:rsidR="00F20ABF" w:rsidRPr="00F20ABF">
        <w:rPr>
          <w:rFonts w:ascii="Arial" w:hAnsi="Arial"/>
        </w:rPr>
        <w:t>Technology Cycles</w:t>
      </w:r>
    </w:p>
    <w:p w14:paraId="71014299" w14:textId="4F8DF36F" w:rsidR="00F20ABF" w:rsidRPr="00F20ABF" w:rsidRDefault="00F20ABF" w:rsidP="00410979">
      <w:pPr>
        <w:spacing w:before="240" w:after="120" w:line="288" w:lineRule="auto"/>
        <w:jc w:val="both"/>
        <w:rPr>
          <w:rFonts w:ascii="Arial" w:hAnsi="Arial"/>
          <w:b/>
          <w:bCs/>
          <w:color w:val="000000"/>
          <w:spacing w:val="2"/>
          <w:sz w:val="35"/>
          <w:szCs w:val="35"/>
        </w:rPr>
      </w:pPr>
      <w:r w:rsidRPr="00F20ABF">
        <w:rPr>
          <w:rFonts w:ascii="Arial" w:hAnsi="Arial"/>
          <w:b/>
          <w:bCs/>
          <w:color w:val="000000"/>
          <w:spacing w:val="2"/>
          <w:sz w:val="35"/>
          <w:szCs w:val="35"/>
        </w:rPr>
        <w:t xml:space="preserve">Deep hole drilling and deburring </w:t>
      </w:r>
      <w:r w:rsidR="275504E1" w:rsidRPr="00F20ABF">
        <w:rPr>
          <w:rFonts w:ascii="Arial" w:hAnsi="Arial"/>
          <w:b/>
          <w:bCs/>
          <w:color w:val="000000"/>
          <w:spacing w:val="2"/>
          <w:sz w:val="35"/>
          <w:szCs w:val="35"/>
        </w:rPr>
        <w:t xml:space="preserve">easily </w:t>
      </w:r>
      <w:r w:rsidRPr="00F20ABF">
        <w:rPr>
          <w:rFonts w:ascii="Arial" w:hAnsi="Arial"/>
          <w:b/>
          <w:bCs/>
          <w:color w:val="000000"/>
          <w:spacing w:val="2"/>
          <w:sz w:val="35"/>
          <w:szCs w:val="35"/>
        </w:rPr>
        <w:t>programmed</w:t>
      </w:r>
    </w:p>
    <w:p w14:paraId="1C88F6AA" w14:textId="77777777" w:rsidR="00240A32" w:rsidRPr="002E0D3A" w:rsidRDefault="001906A8" w:rsidP="00240A32">
      <w:pPr>
        <w:spacing w:after="120" w:line="276" w:lineRule="auto"/>
        <w:jc w:val="both"/>
        <w:rPr>
          <w:rFonts w:ascii="Arial" w:eastAsia="Calibri" w:hAnsi="Arial"/>
          <w:color w:val="000000" w:themeColor="text1"/>
        </w:rPr>
      </w:pPr>
      <w:r w:rsidRPr="26A98A52">
        <w:rPr>
          <w:rFonts w:ascii="Arial" w:eastAsia="Calibri" w:hAnsi="Arial"/>
          <w:b/>
          <w:bCs/>
          <w:color w:val="000000" w:themeColor="text1"/>
        </w:rPr>
        <w:t>M</w:t>
      </w:r>
      <w:r w:rsidR="00F20ABF" w:rsidRPr="26A98A52">
        <w:rPr>
          <w:rFonts w:ascii="Arial" w:eastAsia="Calibri" w:hAnsi="Arial"/>
          <w:b/>
          <w:bCs/>
          <w:color w:val="000000" w:themeColor="text1"/>
        </w:rPr>
        <w:t>unich</w:t>
      </w:r>
      <w:r w:rsidRPr="26A98A52">
        <w:rPr>
          <w:rFonts w:ascii="Arial" w:eastAsia="Calibri" w:hAnsi="Arial"/>
          <w:b/>
          <w:bCs/>
          <w:color w:val="000000" w:themeColor="text1"/>
        </w:rPr>
        <w:t xml:space="preserve">. </w:t>
      </w:r>
      <w:r w:rsidR="007B28A8" w:rsidRPr="26A98A52">
        <w:rPr>
          <w:rFonts w:ascii="Arial" w:eastAsia="Calibri" w:hAnsi="Arial"/>
          <w:color w:val="000000" w:themeColor="text1"/>
        </w:rPr>
        <w:t>Exclusive DMG MORI technology cycles in the areas of handling, measuring, machining, and monitoring have been supporting CNC manufacturing for many years because they simplify complex programming tasks and expand the range of functions of machine tools. At EMO</w:t>
      </w:r>
      <w:r w:rsidR="5081B5D4" w:rsidRPr="26A98A52">
        <w:rPr>
          <w:rFonts w:ascii="Arial" w:eastAsia="Calibri" w:hAnsi="Arial"/>
          <w:color w:val="000000" w:themeColor="text1"/>
        </w:rPr>
        <w:t xml:space="preserve"> </w:t>
      </w:r>
      <w:r w:rsidR="007B28A8" w:rsidRPr="26A98A52">
        <w:rPr>
          <w:rFonts w:ascii="Arial" w:eastAsia="Calibri" w:hAnsi="Arial"/>
          <w:color w:val="000000" w:themeColor="text1"/>
        </w:rPr>
        <w:t xml:space="preserve">2025, the innovation leader will present the new </w:t>
      </w:r>
      <w:proofErr w:type="spellStart"/>
      <w:r w:rsidR="007B28A8" w:rsidRPr="26A98A52">
        <w:rPr>
          <w:rFonts w:ascii="Arial" w:eastAsia="Calibri" w:hAnsi="Arial"/>
          <w:color w:val="000000" w:themeColor="text1"/>
        </w:rPr>
        <w:t>gunDRILLING</w:t>
      </w:r>
      <w:proofErr w:type="spellEnd"/>
      <w:r w:rsidR="007B28A8" w:rsidRPr="26A98A52">
        <w:rPr>
          <w:rFonts w:ascii="Arial" w:eastAsia="Calibri" w:hAnsi="Arial"/>
          <w:color w:val="000000" w:themeColor="text1"/>
        </w:rPr>
        <w:t xml:space="preserve"> technology cycles for deep hole machining and </w:t>
      </w:r>
      <w:proofErr w:type="spellStart"/>
      <w:r w:rsidR="007B28A8" w:rsidRPr="26A98A52">
        <w:rPr>
          <w:rFonts w:ascii="Arial" w:eastAsia="Calibri" w:hAnsi="Arial"/>
          <w:color w:val="000000" w:themeColor="text1"/>
        </w:rPr>
        <w:t>gearDEBURRING</w:t>
      </w:r>
      <w:proofErr w:type="spellEnd"/>
      <w:r w:rsidR="007B28A8" w:rsidRPr="26A98A52">
        <w:rPr>
          <w:rFonts w:ascii="Arial" w:eastAsia="Calibri" w:hAnsi="Arial"/>
          <w:color w:val="000000" w:themeColor="text1"/>
        </w:rPr>
        <w:t xml:space="preserve"> for deburring gear teeth. These and other </w:t>
      </w:r>
      <w:proofErr w:type="gramStart"/>
      <w:r w:rsidR="007B28A8" w:rsidRPr="26A98A52">
        <w:rPr>
          <w:rFonts w:ascii="Arial" w:eastAsia="Calibri" w:hAnsi="Arial"/>
          <w:color w:val="000000" w:themeColor="text1"/>
        </w:rPr>
        <w:t>technology</w:t>
      </w:r>
      <w:proofErr w:type="gramEnd"/>
      <w:r w:rsidR="007B28A8" w:rsidRPr="26A98A52">
        <w:rPr>
          <w:rFonts w:ascii="Arial" w:eastAsia="Calibri" w:hAnsi="Arial"/>
          <w:color w:val="000000" w:themeColor="text1"/>
        </w:rPr>
        <w:t xml:space="preserve"> cycles that are already successfully in use, such as Grinding, </w:t>
      </w:r>
      <w:proofErr w:type="spellStart"/>
      <w:r w:rsidR="007B28A8" w:rsidRPr="26A98A52">
        <w:rPr>
          <w:rFonts w:ascii="Arial" w:eastAsia="Calibri" w:hAnsi="Arial"/>
          <w:color w:val="000000" w:themeColor="text1"/>
        </w:rPr>
        <w:t>gearSHAPING</w:t>
      </w:r>
      <w:proofErr w:type="spellEnd"/>
      <w:r w:rsidR="007B28A8" w:rsidRPr="26A98A52">
        <w:rPr>
          <w:rFonts w:ascii="Arial" w:eastAsia="Calibri" w:hAnsi="Arial"/>
          <w:color w:val="000000" w:themeColor="text1"/>
        </w:rPr>
        <w:t xml:space="preserve">, and </w:t>
      </w:r>
      <w:proofErr w:type="spellStart"/>
      <w:r w:rsidR="007B28A8" w:rsidRPr="26A98A52">
        <w:rPr>
          <w:rFonts w:ascii="Arial" w:eastAsia="Calibri" w:hAnsi="Arial"/>
          <w:color w:val="000000" w:themeColor="text1"/>
        </w:rPr>
        <w:t>gearBROACHING</w:t>
      </w:r>
      <w:proofErr w:type="spellEnd"/>
      <w:r w:rsidR="007B28A8" w:rsidRPr="26A98A52">
        <w:rPr>
          <w:rFonts w:ascii="Arial" w:eastAsia="Calibri" w:hAnsi="Arial"/>
          <w:color w:val="000000" w:themeColor="text1"/>
        </w:rPr>
        <w:t>, are making a significant contribution to DMG MORI's ability to consistently drive forward process integration.</w:t>
      </w:r>
    </w:p>
    <w:p w14:paraId="18D36AF4" w14:textId="4D6B9AE5" w:rsidR="00194AEB" w:rsidRPr="007B28A8" w:rsidRDefault="00683936" w:rsidP="00240A32">
      <w:pPr>
        <w:spacing w:before="240" w:after="120" w:line="288" w:lineRule="auto"/>
        <w:jc w:val="both"/>
        <w:rPr>
          <w:rFonts w:ascii="Arial" w:eastAsia="Calibri" w:hAnsi="Arial"/>
          <w:b/>
          <w:color w:val="000000" w:themeColor="text1"/>
        </w:rPr>
      </w:pPr>
      <w:proofErr w:type="spellStart"/>
      <w:r w:rsidRPr="007B28A8">
        <w:rPr>
          <w:rFonts w:ascii="Arial" w:eastAsia="Calibri" w:hAnsi="Arial"/>
          <w:b/>
          <w:color w:val="000000" w:themeColor="text1"/>
        </w:rPr>
        <w:t>g</w:t>
      </w:r>
      <w:r w:rsidR="003B771E" w:rsidRPr="007B28A8">
        <w:rPr>
          <w:rFonts w:ascii="Arial" w:eastAsia="Calibri" w:hAnsi="Arial"/>
          <w:b/>
          <w:color w:val="000000" w:themeColor="text1"/>
        </w:rPr>
        <w:t>unD</w:t>
      </w:r>
      <w:r w:rsidR="001C6F68" w:rsidRPr="007B28A8">
        <w:rPr>
          <w:rFonts w:ascii="Arial" w:eastAsia="Calibri" w:hAnsi="Arial"/>
          <w:b/>
          <w:color w:val="000000" w:themeColor="text1"/>
        </w:rPr>
        <w:t>RILLING</w:t>
      </w:r>
      <w:proofErr w:type="spellEnd"/>
      <w:r w:rsidR="003B771E" w:rsidRPr="007B28A8">
        <w:rPr>
          <w:rFonts w:ascii="Arial" w:eastAsia="Calibri" w:hAnsi="Arial"/>
          <w:b/>
          <w:color w:val="000000" w:themeColor="text1"/>
        </w:rPr>
        <w:t xml:space="preserve">: </w:t>
      </w:r>
      <w:r w:rsidR="007B28A8" w:rsidRPr="007B28A8">
        <w:rPr>
          <w:rFonts w:ascii="Arial" w:eastAsia="Calibri" w:hAnsi="Arial"/>
          <w:b/>
          <w:color w:val="000000" w:themeColor="text1"/>
        </w:rPr>
        <w:t>Deep hole drilling thanks to technology cycle</w:t>
      </w:r>
    </w:p>
    <w:p w14:paraId="3BD1BABE" w14:textId="77777777" w:rsidR="00240A32" w:rsidRPr="002E0D3A" w:rsidRDefault="007B28A8" w:rsidP="00240A32">
      <w:pPr>
        <w:spacing w:after="120" w:line="276" w:lineRule="auto"/>
        <w:jc w:val="both"/>
        <w:rPr>
          <w:rFonts w:ascii="Arial" w:eastAsia="Calibri" w:hAnsi="Arial"/>
          <w:color w:val="000000" w:themeColor="text1"/>
        </w:rPr>
      </w:pPr>
      <w:r w:rsidRPr="007B28A8">
        <w:rPr>
          <w:rFonts w:ascii="Arial" w:eastAsia="Calibri" w:hAnsi="Arial"/>
          <w:bCs/>
          <w:color w:val="000000" w:themeColor="text1"/>
        </w:rPr>
        <w:t xml:space="preserve">The manufacturing sector is facing ever-increasing demands in terms of </w:t>
      </w:r>
      <w:proofErr w:type="gramStart"/>
      <w:r w:rsidRPr="007B28A8">
        <w:rPr>
          <w:rFonts w:ascii="Arial" w:eastAsia="Calibri" w:hAnsi="Arial"/>
          <w:bCs/>
          <w:color w:val="000000" w:themeColor="text1"/>
        </w:rPr>
        <w:t>tolerance</w:t>
      </w:r>
      <w:proofErr w:type="gramEnd"/>
      <w:r w:rsidRPr="007B28A8">
        <w:rPr>
          <w:rFonts w:ascii="Arial" w:eastAsia="Calibri" w:hAnsi="Arial"/>
          <w:bCs/>
          <w:color w:val="000000" w:themeColor="text1"/>
        </w:rPr>
        <w:t xml:space="preserve"> accuracy, throughput times, and cost-effectiveness. </w:t>
      </w:r>
      <w:r w:rsidRPr="0061632A">
        <w:rPr>
          <w:rFonts w:ascii="Arial" w:eastAsia="Calibri" w:hAnsi="Arial"/>
          <w:bCs/>
          <w:color w:val="000000" w:themeColor="text1"/>
        </w:rPr>
        <w:t>Deep hole drilling plays a strategic role, particularly in the key industries of die and mold making, aviation</w:t>
      </w:r>
      <w:r w:rsidR="005962CE">
        <w:rPr>
          <w:rFonts w:ascii="Arial" w:eastAsia="Calibri" w:hAnsi="Arial"/>
          <w:bCs/>
          <w:color w:val="000000" w:themeColor="text1"/>
        </w:rPr>
        <w:t xml:space="preserve"> &amp; space</w:t>
      </w:r>
      <w:r w:rsidRPr="0061632A">
        <w:rPr>
          <w:rFonts w:ascii="Arial" w:eastAsia="Calibri" w:hAnsi="Arial"/>
          <w:bCs/>
          <w:color w:val="000000" w:themeColor="text1"/>
        </w:rPr>
        <w:t>, and semiconductors. However, conventional processes are reaching their limits due to tool breakage, extreme tool wear, complex programming, high coolant consumption, and high pressure</w:t>
      </w:r>
      <w:r w:rsidR="00B30A3F">
        <w:rPr>
          <w:rFonts w:ascii="Arial" w:eastAsia="Calibri" w:hAnsi="Arial"/>
          <w:bCs/>
          <w:color w:val="000000" w:themeColor="text1"/>
        </w:rPr>
        <w:t>s</w:t>
      </w:r>
      <w:r w:rsidRPr="0061632A">
        <w:rPr>
          <w:rFonts w:ascii="Arial" w:eastAsia="Calibri" w:hAnsi="Arial"/>
          <w:bCs/>
          <w:color w:val="000000" w:themeColor="text1"/>
        </w:rPr>
        <w:t xml:space="preserve"> in the internal coolant supply (IKZ). DMG MORI understands these challenges firsthand—and offers a consistently user-oriented solution with the new </w:t>
      </w:r>
      <w:proofErr w:type="spellStart"/>
      <w:r w:rsidRPr="0061632A">
        <w:rPr>
          <w:rFonts w:ascii="Arial" w:eastAsia="Calibri" w:hAnsi="Arial"/>
          <w:bCs/>
          <w:color w:val="000000" w:themeColor="text1"/>
        </w:rPr>
        <w:t>gunDRILLING</w:t>
      </w:r>
      <w:proofErr w:type="spellEnd"/>
      <w:r w:rsidRPr="0061632A">
        <w:rPr>
          <w:rFonts w:ascii="Arial" w:eastAsia="Calibri" w:hAnsi="Arial"/>
          <w:bCs/>
          <w:color w:val="000000" w:themeColor="text1"/>
        </w:rPr>
        <w:t xml:space="preserve"> technology cycle. Through continuous monitoring and automatic adjustment of the coolant flow (Adaptive Coolant Flow, ACF) and feed, the system ensures exceptionally stable deep hole drilling even in difficult-to-machine materials.</w:t>
      </w:r>
    </w:p>
    <w:p w14:paraId="0F81C63D" w14:textId="77F5EA7B" w:rsidR="00806E13" w:rsidRDefault="00806E13" w:rsidP="007B28A8">
      <w:pPr>
        <w:spacing w:before="240" w:after="120" w:line="276" w:lineRule="auto"/>
        <w:jc w:val="both"/>
        <w:rPr>
          <w:rFonts w:ascii="Arial" w:eastAsia="Calibri" w:hAnsi="Arial"/>
          <w:b/>
          <w:bCs/>
          <w:color w:val="000000" w:themeColor="text1"/>
        </w:rPr>
      </w:pPr>
      <w:r w:rsidRPr="00806E13">
        <w:rPr>
          <w:rFonts w:ascii="Arial" w:eastAsia="Calibri" w:hAnsi="Arial"/>
          <w:b/>
          <w:bCs/>
          <w:color w:val="000000" w:themeColor="text1"/>
        </w:rPr>
        <w:t xml:space="preserve">Adaptive </w:t>
      </w:r>
      <w:r>
        <w:rPr>
          <w:rFonts w:ascii="Arial" w:eastAsia="Calibri" w:hAnsi="Arial"/>
          <w:b/>
          <w:bCs/>
          <w:color w:val="000000" w:themeColor="text1"/>
        </w:rPr>
        <w:t>C</w:t>
      </w:r>
      <w:r w:rsidRPr="00806E13">
        <w:rPr>
          <w:rFonts w:ascii="Arial" w:eastAsia="Calibri" w:hAnsi="Arial"/>
          <w:b/>
          <w:bCs/>
          <w:color w:val="000000" w:themeColor="text1"/>
        </w:rPr>
        <w:t>oolant flow system: monitoring and adjustment of the coolant supply</w:t>
      </w:r>
    </w:p>
    <w:p w14:paraId="48EA7D64" w14:textId="7E0E712B" w:rsidR="00240A32" w:rsidRPr="002E0D3A" w:rsidRDefault="007B28A8" w:rsidP="00240A32">
      <w:pPr>
        <w:spacing w:after="120" w:line="276" w:lineRule="auto"/>
        <w:jc w:val="both"/>
        <w:rPr>
          <w:rFonts w:ascii="Arial" w:eastAsia="Calibri" w:hAnsi="Arial"/>
          <w:color w:val="000000" w:themeColor="text1"/>
        </w:rPr>
      </w:pPr>
      <w:r w:rsidRPr="0061632A">
        <w:rPr>
          <w:rFonts w:ascii="Arial" w:eastAsia="Calibri" w:hAnsi="Arial"/>
          <w:bCs/>
          <w:color w:val="000000" w:themeColor="text1"/>
        </w:rPr>
        <w:t xml:space="preserve">One of the key innovations is the Adaptive Coolant Flow system, which continuously monitors and automatically adjusts the flow of the internal coolant supply. This reduces pressures to a maximum of 40 </w:t>
      </w:r>
      <w:proofErr w:type="gramStart"/>
      <w:r w:rsidRPr="0061632A">
        <w:rPr>
          <w:rFonts w:ascii="Arial" w:eastAsia="Calibri" w:hAnsi="Arial"/>
          <w:bCs/>
          <w:color w:val="000000" w:themeColor="text1"/>
        </w:rPr>
        <w:t>bar</w:t>
      </w:r>
      <w:proofErr w:type="gramEnd"/>
      <w:r w:rsidRPr="0061632A">
        <w:rPr>
          <w:rFonts w:ascii="Arial" w:eastAsia="Calibri" w:hAnsi="Arial"/>
          <w:bCs/>
          <w:color w:val="000000" w:themeColor="text1"/>
        </w:rPr>
        <w:t xml:space="preserve">. This prevents overheating and significantly reduces the risk of tool breakage. In addition, automatic feed adjustment ensures that if defined limits are exceeded, the process is also permanently adjusted within the limits in accordance with the flow rate. This control is continuous, maximizing both tool life and machine availability. </w:t>
      </w:r>
      <w:proofErr w:type="gramStart"/>
      <w:r w:rsidRPr="0061632A">
        <w:rPr>
          <w:rFonts w:ascii="Arial" w:eastAsia="Calibri" w:hAnsi="Arial"/>
          <w:bCs/>
          <w:color w:val="000000" w:themeColor="text1"/>
        </w:rPr>
        <w:t>The technology</w:t>
      </w:r>
      <w:proofErr w:type="gramEnd"/>
      <w:r w:rsidRPr="0061632A">
        <w:rPr>
          <w:rFonts w:ascii="Arial" w:eastAsia="Calibri" w:hAnsi="Arial"/>
          <w:bCs/>
          <w:color w:val="000000" w:themeColor="text1"/>
        </w:rPr>
        <w:t xml:space="preserve"> also scores highly in terms of sustainability: results show that energy consumption is significantly reduced and there is no need for expensive special fluids.   In many cases, a standard solution in combination with an </w:t>
      </w:r>
      <w:proofErr w:type="gramStart"/>
      <w:r w:rsidRPr="0061632A">
        <w:rPr>
          <w:rFonts w:ascii="Arial" w:eastAsia="Calibri" w:hAnsi="Arial"/>
          <w:bCs/>
          <w:color w:val="000000" w:themeColor="text1"/>
        </w:rPr>
        <w:t>80 bar</w:t>
      </w:r>
      <w:proofErr w:type="gramEnd"/>
      <w:r w:rsidRPr="0061632A">
        <w:rPr>
          <w:rFonts w:ascii="Arial" w:eastAsia="Calibri" w:hAnsi="Arial"/>
          <w:bCs/>
          <w:color w:val="000000" w:themeColor="text1"/>
        </w:rPr>
        <w:t xml:space="preserve"> coolant system is completely sufficient. Integration into existing manufacturing processes is also particularly intuitive thanks to automated parameterization. The programming effort is significantly reduced. The same applies to potential sources of error. </w:t>
      </w:r>
      <w:proofErr w:type="gramStart"/>
      <w:r w:rsidRPr="0061632A">
        <w:rPr>
          <w:rFonts w:ascii="Arial" w:eastAsia="Calibri" w:hAnsi="Arial"/>
          <w:bCs/>
          <w:color w:val="000000" w:themeColor="text1"/>
        </w:rPr>
        <w:t>Last but not least</w:t>
      </w:r>
      <w:proofErr w:type="gramEnd"/>
      <w:r w:rsidRPr="0061632A">
        <w:rPr>
          <w:rFonts w:ascii="Arial" w:eastAsia="Calibri" w:hAnsi="Arial"/>
          <w:bCs/>
          <w:color w:val="000000" w:themeColor="text1"/>
        </w:rPr>
        <w:t xml:space="preserve">, the </w:t>
      </w:r>
      <w:proofErr w:type="spellStart"/>
      <w:r w:rsidRPr="0061632A">
        <w:rPr>
          <w:rFonts w:ascii="Arial" w:eastAsia="Calibri" w:hAnsi="Arial"/>
          <w:bCs/>
          <w:color w:val="000000" w:themeColor="text1"/>
        </w:rPr>
        <w:t>gunDRILLING</w:t>
      </w:r>
      <w:proofErr w:type="spellEnd"/>
      <w:r w:rsidRPr="0061632A">
        <w:rPr>
          <w:rFonts w:ascii="Arial" w:eastAsia="Calibri" w:hAnsi="Arial"/>
          <w:bCs/>
          <w:color w:val="000000" w:themeColor="text1"/>
        </w:rPr>
        <w:t xml:space="preserve"> technology cycle impresses with its versatility: Whether for small or large series production, the solution is ideal for a wide range of applications, especially in industries with the highest demands on precision and process reliability.</w:t>
      </w:r>
    </w:p>
    <w:p w14:paraId="16D188AB" w14:textId="77777777" w:rsidR="00240A32" w:rsidRDefault="00240A32" w:rsidP="007B28A8">
      <w:pPr>
        <w:spacing w:before="240" w:after="120" w:line="276" w:lineRule="auto"/>
        <w:jc w:val="both"/>
        <w:rPr>
          <w:rFonts w:ascii="Arial" w:eastAsia="Calibri" w:hAnsi="Arial"/>
          <w:b/>
          <w:color w:val="000000" w:themeColor="text1"/>
        </w:rPr>
      </w:pPr>
    </w:p>
    <w:p w14:paraId="47E3D646" w14:textId="7CF9D0F0" w:rsidR="003B771E" w:rsidRPr="0061632A" w:rsidRDefault="002F02B2" w:rsidP="007B28A8">
      <w:pPr>
        <w:spacing w:before="240" w:after="120" w:line="276" w:lineRule="auto"/>
        <w:jc w:val="both"/>
        <w:rPr>
          <w:rFonts w:ascii="Arial" w:eastAsia="Calibri" w:hAnsi="Arial"/>
          <w:b/>
          <w:color w:val="000000" w:themeColor="text1"/>
        </w:rPr>
      </w:pPr>
      <w:proofErr w:type="spellStart"/>
      <w:r>
        <w:rPr>
          <w:rFonts w:ascii="Arial" w:eastAsia="Calibri" w:hAnsi="Arial"/>
          <w:b/>
          <w:color w:val="000000" w:themeColor="text1"/>
        </w:rPr>
        <w:lastRenderedPageBreak/>
        <w:t>g</w:t>
      </w:r>
      <w:r w:rsidR="007A4ABF" w:rsidRPr="0061632A">
        <w:rPr>
          <w:rFonts w:ascii="Arial" w:eastAsia="Calibri" w:hAnsi="Arial"/>
          <w:b/>
          <w:color w:val="000000" w:themeColor="text1"/>
        </w:rPr>
        <w:t>earDEBURRING</w:t>
      </w:r>
      <w:proofErr w:type="spellEnd"/>
      <w:r w:rsidR="007A4ABF" w:rsidRPr="0061632A">
        <w:rPr>
          <w:rFonts w:ascii="Arial" w:eastAsia="Calibri" w:hAnsi="Arial"/>
          <w:b/>
          <w:color w:val="000000" w:themeColor="text1"/>
        </w:rPr>
        <w:t>:</w:t>
      </w:r>
      <w:r w:rsidR="003B771E" w:rsidRPr="0061632A">
        <w:rPr>
          <w:rFonts w:ascii="Arial" w:eastAsia="Calibri" w:hAnsi="Arial"/>
          <w:b/>
          <w:color w:val="000000" w:themeColor="text1"/>
        </w:rPr>
        <w:t xml:space="preserve"> </w:t>
      </w:r>
      <w:r w:rsidR="0061632A" w:rsidRPr="0061632A">
        <w:rPr>
          <w:rFonts w:ascii="Arial" w:eastAsia="Calibri" w:hAnsi="Arial"/>
          <w:b/>
          <w:color w:val="000000" w:themeColor="text1"/>
        </w:rPr>
        <w:t>Defined deburring of gear teeth</w:t>
      </w:r>
    </w:p>
    <w:p w14:paraId="7E112059" w14:textId="77777777" w:rsidR="00240A32" w:rsidRPr="002E0D3A" w:rsidRDefault="0061632A" w:rsidP="00240A32">
      <w:pPr>
        <w:spacing w:after="120" w:line="276" w:lineRule="auto"/>
        <w:jc w:val="both"/>
        <w:rPr>
          <w:rFonts w:ascii="Arial" w:eastAsia="Calibri" w:hAnsi="Arial"/>
          <w:color w:val="000000" w:themeColor="text1"/>
        </w:rPr>
      </w:pPr>
      <w:r w:rsidRPr="0061632A">
        <w:rPr>
          <w:rFonts w:ascii="Arial" w:eastAsia="Calibri" w:hAnsi="Arial"/>
          <w:bCs/>
        </w:rPr>
        <w:t xml:space="preserve">Deburring gear teeth is an important process step that DMG MORI has greatly simplified with the </w:t>
      </w:r>
      <w:proofErr w:type="spellStart"/>
      <w:r w:rsidRPr="0061632A">
        <w:rPr>
          <w:rFonts w:ascii="Arial" w:eastAsia="Calibri" w:hAnsi="Arial"/>
          <w:bCs/>
        </w:rPr>
        <w:t>gearDEBURRING</w:t>
      </w:r>
      <w:proofErr w:type="spellEnd"/>
      <w:r w:rsidRPr="0061632A">
        <w:rPr>
          <w:rFonts w:ascii="Arial" w:eastAsia="Calibri" w:hAnsi="Arial"/>
          <w:bCs/>
        </w:rPr>
        <w:t xml:space="preserve"> technology cycle. It supports the programming of the machining step for both straight and helical gear teeth—even in the case of internal gear teeth. All you </w:t>
      </w:r>
      <w:proofErr w:type="gramStart"/>
      <w:r w:rsidRPr="0061632A">
        <w:rPr>
          <w:rFonts w:ascii="Arial" w:eastAsia="Calibri" w:hAnsi="Arial"/>
          <w:bCs/>
        </w:rPr>
        <w:t>have to</w:t>
      </w:r>
      <w:proofErr w:type="gramEnd"/>
      <w:r w:rsidRPr="0061632A">
        <w:rPr>
          <w:rFonts w:ascii="Arial" w:eastAsia="Calibri" w:hAnsi="Arial"/>
          <w:bCs/>
        </w:rPr>
        <w:t xml:space="preserve"> do is define the parameters of the gear, the deburring tool, and the machining strategy in the user interface. Depending on the tool geometry, the technology cycle uses the B axis to apply chamfers flexibly. The process is carried out at high speed in up to 20 seconds. An additional benefit is the cost-efficient use of tools.</w:t>
      </w:r>
    </w:p>
    <w:p w14:paraId="18676C71" w14:textId="721301EC" w:rsidR="00B3264C" w:rsidRPr="0061632A" w:rsidRDefault="00B3264C" w:rsidP="00B3264C">
      <w:pPr>
        <w:spacing w:before="240" w:after="120" w:line="276" w:lineRule="auto"/>
        <w:jc w:val="both"/>
        <w:rPr>
          <w:rFonts w:ascii="Arial" w:eastAsia="Calibri" w:hAnsi="Arial"/>
          <w:b/>
          <w:color w:val="000000" w:themeColor="text1"/>
        </w:rPr>
      </w:pPr>
      <w:r w:rsidRPr="0061632A">
        <w:rPr>
          <w:rFonts w:ascii="Arial" w:eastAsia="Calibri" w:hAnsi="Arial"/>
          <w:b/>
          <w:color w:val="000000" w:themeColor="text1"/>
        </w:rPr>
        <w:t xml:space="preserve">Machining Transformation (MX) </w:t>
      </w:r>
      <w:r w:rsidR="0061632A" w:rsidRPr="0061632A">
        <w:rPr>
          <w:rFonts w:ascii="Arial" w:eastAsia="Calibri" w:hAnsi="Arial"/>
          <w:b/>
          <w:color w:val="000000" w:themeColor="text1"/>
        </w:rPr>
        <w:t>through technology cycles</w:t>
      </w:r>
    </w:p>
    <w:p w14:paraId="3652082F" w14:textId="77777777" w:rsidR="00240A32" w:rsidRPr="002E0D3A" w:rsidRDefault="00E44F57" w:rsidP="00240A32">
      <w:pPr>
        <w:spacing w:after="120" w:line="276" w:lineRule="auto"/>
        <w:jc w:val="both"/>
        <w:rPr>
          <w:rFonts w:ascii="Arial" w:eastAsia="Calibri" w:hAnsi="Arial"/>
          <w:color w:val="000000" w:themeColor="text1"/>
        </w:rPr>
      </w:pPr>
      <w:r w:rsidRPr="00E44F57">
        <w:rPr>
          <w:rFonts w:ascii="Arial" w:eastAsia="Calibri" w:hAnsi="Arial"/>
          <w:bCs/>
          <w:color w:val="000000" w:themeColor="text1"/>
        </w:rPr>
        <w:t xml:space="preserve">The use of these and other highly specialized technology cycles is an important element of Machining Transformation (MX), with which DMG MORI is paving the way for the future of manufacturing. They reduce programming times and integrate additional processes into the machine's working space, which in turn reduces overall throughput times. This approach has already proven itself in many applications. With </w:t>
      </w:r>
      <w:proofErr w:type="gramStart"/>
      <w:r w:rsidRPr="00E44F57">
        <w:rPr>
          <w:rFonts w:ascii="Arial" w:eastAsia="Calibri" w:hAnsi="Arial"/>
          <w:bCs/>
          <w:color w:val="000000" w:themeColor="text1"/>
        </w:rPr>
        <w:t>technology</w:t>
      </w:r>
      <w:proofErr w:type="gramEnd"/>
      <w:r w:rsidRPr="00E44F57">
        <w:rPr>
          <w:rFonts w:ascii="Arial" w:eastAsia="Calibri" w:hAnsi="Arial"/>
          <w:bCs/>
          <w:color w:val="000000" w:themeColor="text1"/>
        </w:rPr>
        <w:t xml:space="preserve"> cycles such as Grinding, </w:t>
      </w:r>
      <w:proofErr w:type="spellStart"/>
      <w:r w:rsidRPr="00E44F57">
        <w:rPr>
          <w:rFonts w:ascii="Arial" w:eastAsia="Calibri" w:hAnsi="Arial"/>
          <w:bCs/>
          <w:color w:val="000000" w:themeColor="text1"/>
        </w:rPr>
        <w:t>gearSHAPING</w:t>
      </w:r>
      <w:proofErr w:type="spellEnd"/>
      <w:r w:rsidRPr="00E44F57">
        <w:rPr>
          <w:rFonts w:ascii="Arial" w:eastAsia="Calibri" w:hAnsi="Arial"/>
          <w:bCs/>
          <w:color w:val="000000" w:themeColor="text1"/>
        </w:rPr>
        <w:t xml:space="preserve">, and </w:t>
      </w:r>
      <w:proofErr w:type="spellStart"/>
      <w:r w:rsidRPr="00E44F57">
        <w:rPr>
          <w:rFonts w:ascii="Arial" w:eastAsia="Calibri" w:hAnsi="Arial"/>
          <w:bCs/>
          <w:color w:val="000000" w:themeColor="text1"/>
        </w:rPr>
        <w:t>gearBROACHING</w:t>
      </w:r>
      <w:proofErr w:type="spellEnd"/>
      <w:r w:rsidRPr="00E44F57">
        <w:rPr>
          <w:rFonts w:ascii="Arial" w:eastAsia="Calibri" w:hAnsi="Arial"/>
          <w:bCs/>
          <w:color w:val="000000" w:themeColor="text1"/>
        </w:rPr>
        <w:t>, DMG MORI has been demonstrating for many years that this approach ensures more efficient processes. The integration of additional work steps into a single clamping is the perfect alternative to conventional machining on multiple machines and enables more economical and competitive production.</w:t>
      </w:r>
    </w:p>
    <w:p w14:paraId="0DF1E487" w14:textId="0410BE02" w:rsidR="00E41A4E" w:rsidRDefault="00E41A4E" w:rsidP="00240A32">
      <w:pPr>
        <w:autoSpaceDE w:val="0"/>
        <w:autoSpaceDN w:val="0"/>
        <w:adjustRightInd w:val="0"/>
        <w:spacing w:after="40" w:line="288" w:lineRule="auto"/>
        <w:ind w:right="-7"/>
        <w:jc w:val="both"/>
        <w:rPr>
          <w:rFonts w:ascii="Arial" w:eastAsia="Calibri" w:hAnsi="Arial"/>
          <w:b/>
          <w:color w:val="000000" w:themeColor="text1"/>
          <w:sz w:val="20"/>
          <w:szCs w:val="20"/>
        </w:rPr>
      </w:pPr>
      <w:r>
        <w:rPr>
          <w:rFonts w:ascii="Arial" w:eastAsia="Calibri" w:hAnsi="Arial"/>
          <w:b/>
          <w:color w:val="000000" w:themeColor="text1"/>
          <w:sz w:val="20"/>
          <w:szCs w:val="20"/>
        </w:rPr>
        <w:br w:type="page"/>
      </w:r>
    </w:p>
    <w:p w14:paraId="4A2FD11B" w14:textId="1B6521C4" w:rsidR="00D67734" w:rsidRPr="00521109" w:rsidRDefault="00521109" w:rsidP="00410979">
      <w:pPr>
        <w:autoSpaceDE w:val="0"/>
        <w:autoSpaceDN w:val="0"/>
        <w:adjustRightInd w:val="0"/>
        <w:spacing w:after="40" w:line="288" w:lineRule="auto"/>
        <w:ind w:right="-7"/>
        <w:jc w:val="both"/>
        <w:rPr>
          <w:rFonts w:ascii="Arial" w:eastAsia="MS Mincho" w:hAnsi="Arial"/>
          <w:b/>
          <w:color w:val="000000"/>
          <w:sz w:val="16"/>
          <w:szCs w:val="18"/>
        </w:rPr>
      </w:pPr>
      <w:r w:rsidRPr="00402D45">
        <w:rPr>
          <w:rFonts w:ascii="Arial" w:eastAsia="MS Mincho" w:hAnsi="Arial"/>
          <w:b/>
          <w:noProof/>
          <w:color w:val="000000"/>
          <w:sz w:val="16"/>
          <w:szCs w:val="18"/>
          <w:lang w:val="de-DE"/>
        </w:rPr>
        <w:lastRenderedPageBreak/>
        <w:drawing>
          <wp:inline distT="0" distB="0" distL="0" distR="0" wp14:anchorId="11CD238A" wp14:editId="31D19A9D">
            <wp:extent cx="4813401" cy="3382433"/>
            <wp:effectExtent l="0" t="0" r="6350" b="8890"/>
            <wp:docPr id="1650947099" name="Grafik 1" descr="Ein Bild, das Zahnrad, Metallwar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947099" name="Grafik 1" descr="Ein Bild, das Zahnrad, Metallwaren enthält.&#10;&#10;KI-generierte Inhalte können fehlerhaft sein."/>
                    <pic:cNvPicPr/>
                  </pic:nvPicPr>
                  <pic:blipFill>
                    <a:blip r:embed="rId10"/>
                    <a:stretch>
                      <a:fillRect/>
                    </a:stretch>
                  </pic:blipFill>
                  <pic:spPr>
                    <a:xfrm>
                      <a:off x="0" y="0"/>
                      <a:ext cx="4827697" cy="3392479"/>
                    </a:xfrm>
                    <a:prstGeom prst="rect">
                      <a:avLst/>
                    </a:prstGeom>
                  </pic:spPr>
                </pic:pic>
              </a:graphicData>
            </a:graphic>
          </wp:inline>
        </w:drawing>
      </w:r>
    </w:p>
    <w:p w14:paraId="7CEC27AC" w14:textId="538E5B79" w:rsidR="001906A8" w:rsidRPr="002F02B2" w:rsidRDefault="00E44F57" w:rsidP="0087028C">
      <w:pPr>
        <w:autoSpaceDE w:val="0"/>
        <w:autoSpaceDN w:val="0"/>
        <w:adjustRightInd w:val="0"/>
        <w:spacing w:after="40" w:line="288" w:lineRule="auto"/>
        <w:ind w:right="1417"/>
        <w:jc w:val="both"/>
        <w:rPr>
          <w:rFonts w:ascii="Arial" w:eastAsia="MS Mincho" w:hAnsi="Arial"/>
          <w:bCs/>
          <w:color w:val="000000"/>
          <w:sz w:val="16"/>
          <w:szCs w:val="18"/>
        </w:rPr>
      </w:pPr>
      <w:r w:rsidRPr="002F02B2">
        <w:rPr>
          <w:rFonts w:ascii="Arial" w:eastAsia="MS Mincho" w:hAnsi="Arial"/>
          <w:bCs/>
          <w:color w:val="000000"/>
          <w:sz w:val="16"/>
          <w:szCs w:val="18"/>
        </w:rPr>
        <w:t xml:space="preserve">Technology cycles such as Grinding, </w:t>
      </w:r>
      <w:proofErr w:type="spellStart"/>
      <w:r w:rsidRPr="002F02B2">
        <w:rPr>
          <w:rFonts w:ascii="Arial" w:eastAsia="MS Mincho" w:hAnsi="Arial"/>
          <w:bCs/>
          <w:color w:val="000000"/>
          <w:sz w:val="16"/>
          <w:szCs w:val="18"/>
        </w:rPr>
        <w:t>gearSHAPING</w:t>
      </w:r>
      <w:proofErr w:type="spellEnd"/>
      <w:r w:rsidRPr="002F02B2">
        <w:rPr>
          <w:rFonts w:ascii="Arial" w:eastAsia="MS Mincho" w:hAnsi="Arial"/>
          <w:bCs/>
          <w:color w:val="000000"/>
          <w:sz w:val="16"/>
          <w:szCs w:val="18"/>
        </w:rPr>
        <w:t xml:space="preserve"> and </w:t>
      </w:r>
      <w:proofErr w:type="spellStart"/>
      <w:r w:rsidRPr="002F02B2">
        <w:rPr>
          <w:rFonts w:ascii="Arial" w:eastAsia="MS Mincho" w:hAnsi="Arial"/>
          <w:bCs/>
          <w:color w:val="000000"/>
          <w:sz w:val="16"/>
          <w:szCs w:val="18"/>
        </w:rPr>
        <w:t>gearBROACHING</w:t>
      </w:r>
      <w:proofErr w:type="spellEnd"/>
      <w:r w:rsidRPr="002F02B2">
        <w:rPr>
          <w:rFonts w:ascii="Arial" w:eastAsia="MS Mincho" w:hAnsi="Arial"/>
          <w:bCs/>
          <w:color w:val="000000"/>
          <w:sz w:val="16"/>
          <w:szCs w:val="18"/>
        </w:rPr>
        <w:t xml:space="preserve"> make a significant contribution to DMG MORI's ability to consistently drive forward process integration.</w:t>
      </w:r>
    </w:p>
    <w:p w14:paraId="28273FD6" w14:textId="77777777" w:rsidR="00E44F57" w:rsidRDefault="00E44F57" w:rsidP="00410979">
      <w:pPr>
        <w:autoSpaceDE w:val="0"/>
        <w:autoSpaceDN w:val="0"/>
        <w:adjustRightInd w:val="0"/>
        <w:spacing w:after="40" w:line="288" w:lineRule="auto"/>
        <w:ind w:right="-7"/>
        <w:jc w:val="both"/>
        <w:rPr>
          <w:rFonts w:ascii="Arial" w:eastAsia="MS Mincho" w:hAnsi="Arial"/>
          <w:bCs/>
          <w:color w:val="000000"/>
          <w:sz w:val="16"/>
          <w:szCs w:val="18"/>
        </w:rPr>
      </w:pPr>
    </w:p>
    <w:p w14:paraId="0AF3F11F" w14:textId="70EDE8E1" w:rsidR="00E74CE0" w:rsidRPr="00A5109A" w:rsidRDefault="00E74CE0" w:rsidP="00E74CE0">
      <w:pPr>
        <w:autoSpaceDE w:val="0"/>
        <w:autoSpaceDN w:val="0"/>
        <w:adjustRightInd w:val="0"/>
        <w:spacing w:after="40" w:line="269" w:lineRule="auto"/>
        <w:ind w:right="1977"/>
        <w:jc w:val="both"/>
        <w:rPr>
          <w:rFonts w:ascii="Arial" w:eastAsia="MS Mincho" w:hAnsi="Arial"/>
          <w:b/>
          <w:color w:val="000000" w:themeColor="text1"/>
          <w:sz w:val="16"/>
          <w:szCs w:val="18"/>
        </w:rPr>
      </w:pPr>
      <w:r w:rsidRPr="00A5109A">
        <w:rPr>
          <w:rFonts w:ascii="Arial" w:eastAsia="MS Mincho" w:hAnsi="Arial"/>
          <w:b/>
          <w:color w:val="000000" w:themeColor="text1"/>
          <w:sz w:val="16"/>
          <w:szCs w:val="18"/>
        </w:rPr>
        <w:t xml:space="preserve">Company Profile // DMG MORI </w:t>
      </w:r>
    </w:p>
    <w:p w14:paraId="4B75E5AA" w14:textId="77777777" w:rsidR="00E74CE0" w:rsidRPr="008B337D" w:rsidRDefault="00E74CE0" w:rsidP="00E74CE0">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is a leading global manufacturer of high-precision machine tools and is represented in 4</w:t>
      </w:r>
      <w:r>
        <w:rPr>
          <w:rFonts w:ascii="Arial" w:eastAsia="MS Mincho" w:hAnsi="Arial"/>
          <w:bCs/>
          <w:color w:val="000000" w:themeColor="text1"/>
          <w:sz w:val="16"/>
          <w:szCs w:val="18"/>
          <w:lang w:eastAsia="de-DE"/>
        </w:rPr>
        <w:t>4</w:t>
      </w:r>
      <w:r w:rsidRPr="008B337D">
        <w:rPr>
          <w:rFonts w:ascii="Arial" w:eastAsia="MS Mincho" w:hAnsi="Arial"/>
          <w:bCs/>
          <w:color w:val="000000" w:themeColor="text1"/>
          <w:sz w:val="16"/>
          <w:szCs w:val="18"/>
          <w:lang w:eastAsia="de-DE"/>
        </w:rPr>
        <w:t xml:space="preserve"> countries – with </w:t>
      </w:r>
      <w:r>
        <w:rPr>
          <w:rFonts w:ascii="Arial" w:eastAsia="MS Mincho" w:hAnsi="Arial"/>
          <w:bCs/>
          <w:color w:val="000000" w:themeColor="text1"/>
          <w:sz w:val="16"/>
          <w:szCs w:val="18"/>
          <w:lang w:eastAsia="de-DE"/>
        </w:rPr>
        <w:t>124</w:t>
      </w:r>
      <w:r w:rsidRPr="008B337D">
        <w:rPr>
          <w:rFonts w:ascii="Arial" w:eastAsia="MS Mincho" w:hAnsi="Arial"/>
          <w:bCs/>
          <w:color w:val="000000" w:themeColor="text1"/>
          <w:sz w:val="16"/>
          <w:szCs w:val="18"/>
          <w:lang w:eastAsia="de-DE"/>
        </w:rPr>
        <w:t xml:space="preserve"> sales and service locations, including 17 production plants. In the “Global One Company”, more than 13,</w:t>
      </w:r>
      <w:r>
        <w:rPr>
          <w:rFonts w:ascii="Arial" w:eastAsia="MS Mincho" w:hAnsi="Arial"/>
          <w:bCs/>
          <w:color w:val="000000" w:themeColor="text1"/>
          <w:sz w:val="16"/>
          <w:szCs w:val="18"/>
          <w:lang w:eastAsia="de-DE"/>
        </w:rPr>
        <w:t>5</w:t>
      </w:r>
      <w:r w:rsidRPr="008B337D">
        <w:rPr>
          <w:rFonts w:ascii="Arial" w:eastAsia="MS Mincho" w:hAnsi="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4F87577" w14:textId="77777777" w:rsidR="00E74CE0" w:rsidRPr="008B337D" w:rsidRDefault="00E74CE0" w:rsidP="00E74CE0">
      <w:pPr>
        <w:spacing w:after="40" w:line="269" w:lineRule="auto"/>
        <w:ind w:right="1977"/>
        <w:jc w:val="both"/>
        <w:rPr>
          <w:rFonts w:ascii="Arial" w:eastAsia="MS Mincho" w:hAnsi="Arial"/>
          <w:bCs/>
          <w:color w:val="000000" w:themeColor="text1"/>
          <w:sz w:val="16"/>
          <w:szCs w:val="18"/>
          <w:lang w:eastAsia="de-DE"/>
        </w:rPr>
      </w:pPr>
    </w:p>
    <w:p w14:paraId="4ABF0D61" w14:textId="77777777" w:rsidR="00E74CE0" w:rsidRPr="008B337D" w:rsidRDefault="00E74CE0" w:rsidP="00E74CE0">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bCs/>
          <w:color w:val="000000" w:themeColor="text1"/>
          <w:sz w:val="16"/>
          <w:szCs w:val="18"/>
          <w:lang w:eastAsia="de-DE"/>
        </w:rPr>
        <w:t>Lasertec</w:t>
      </w:r>
      <w:proofErr w:type="spellEnd"/>
      <w:r w:rsidRPr="008B337D">
        <w:rPr>
          <w:rFonts w:ascii="Arial" w:eastAsia="MS Mincho" w:hAnsi="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1E711017" w14:textId="77777777" w:rsidR="00E74CE0" w:rsidRPr="008B337D" w:rsidRDefault="00E74CE0" w:rsidP="00E74CE0">
      <w:pPr>
        <w:spacing w:after="40" w:line="269" w:lineRule="auto"/>
        <w:ind w:right="1977"/>
        <w:jc w:val="both"/>
        <w:rPr>
          <w:rFonts w:ascii="Arial" w:eastAsia="MS Mincho" w:hAnsi="Arial"/>
          <w:bCs/>
          <w:color w:val="000000" w:themeColor="text1"/>
          <w:sz w:val="16"/>
          <w:szCs w:val="18"/>
          <w:lang w:eastAsia="de-DE"/>
        </w:rPr>
      </w:pPr>
    </w:p>
    <w:p w14:paraId="728311A0" w14:textId="77777777" w:rsidR="00E74CE0" w:rsidRPr="008B337D" w:rsidRDefault="00E74CE0" w:rsidP="00E74CE0">
      <w:pPr>
        <w:spacing w:after="40" w:line="269" w:lineRule="auto"/>
        <w:ind w:right="1977"/>
        <w:jc w:val="both"/>
        <w:rPr>
          <w:rFonts w:ascii="Arial" w:eastAsia="MS Mincho" w:hAnsi="Arial"/>
          <w:bCs/>
          <w:color w:val="000000" w:themeColor="text1"/>
          <w:sz w:val="16"/>
          <w:szCs w:val="18"/>
          <w:lang w:eastAsia="de-DE"/>
        </w:rPr>
      </w:pPr>
      <w:r w:rsidRPr="00B06C69">
        <w:rPr>
          <w:rFonts w:ascii="Arial" w:eastAsia="MS Mincho" w:hAnsi="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38798ABE" w14:textId="77777777" w:rsidR="001906A8" w:rsidRPr="00E74CE0" w:rsidRDefault="001906A8" w:rsidP="00410979">
      <w:pPr>
        <w:spacing w:after="40" w:line="288" w:lineRule="auto"/>
        <w:ind w:right="1977"/>
        <w:jc w:val="both"/>
        <w:rPr>
          <w:rFonts w:ascii="Arial" w:eastAsia="MS Mincho" w:hAnsi="Arial"/>
          <w:bCs/>
          <w:noProof/>
          <w:sz w:val="16"/>
          <w:szCs w:val="18"/>
          <w:lang w:eastAsia="de-DE"/>
        </w:rPr>
      </w:pPr>
    </w:p>
    <w:p w14:paraId="29CC661A" w14:textId="77777777" w:rsidR="001906A8" w:rsidRPr="00E74CE0" w:rsidRDefault="001906A8" w:rsidP="00410979">
      <w:pPr>
        <w:spacing w:after="40" w:line="288" w:lineRule="auto"/>
        <w:ind w:right="1977"/>
        <w:jc w:val="both"/>
        <w:rPr>
          <w:rFonts w:ascii="Arial" w:eastAsia="MS Mincho" w:hAnsi="Arial"/>
          <w:bCs/>
          <w:noProof/>
          <w:sz w:val="16"/>
          <w:szCs w:val="18"/>
          <w:lang w:eastAsia="de-DE"/>
        </w:rPr>
      </w:pPr>
    </w:p>
    <w:p w14:paraId="1CDC7BB9" w14:textId="77777777" w:rsidR="004E0311" w:rsidRPr="0004410D" w:rsidRDefault="004E0311" w:rsidP="004E0311">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299E7E06" w14:textId="77777777" w:rsidR="00410979" w:rsidRPr="00B91096" w:rsidRDefault="00410979">
      <w:pPr>
        <w:tabs>
          <w:tab w:val="left" w:pos="2403"/>
        </w:tabs>
        <w:spacing w:line="288" w:lineRule="auto"/>
      </w:pPr>
    </w:p>
    <w:sectPr w:rsidR="00410979" w:rsidRPr="00B91096" w:rsidSect="00410979">
      <w:headerReference w:type="even" r:id="rId11"/>
      <w:headerReference w:type="default" r:id="rId12"/>
      <w:footerReference w:type="even" r:id="rId13"/>
      <w:footerReference w:type="default" r:id="rId14"/>
      <w:headerReference w:type="first" r:id="rId15"/>
      <w:footerReference w:type="first" r:id="rId16"/>
      <w:pgSz w:w="11906" w:h="16838"/>
      <w:pgMar w:top="3237" w:right="1417" w:bottom="131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0E9D75" w14:textId="77777777" w:rsidR="002A734D" w:rsidRDefault="002A734D" w:rsidP="003F4354">
      <w:pPr>
        <w:spacing w:after="0" w:line="240" w:lineRule="auto"/>
      </w:pPr>
      <w:r>
        <w:separator/>
      </w:r>
    </w:p>
  </w:endnote>
  <w:endnote w:type="continuationSeparator" w:id="0">
    <w:p w14:paraId="4320147C" w14:textId="77777777" w:rsidR="002A734D" w:rsidRDefault="002A734D"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charset w:val="4D"/>
    <w:family w:val="auto"/>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550A6" w14:textId="77777777" w:rsidR="00BD0042" w:rsidRDefault="00BD004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A59A" w14:textId="77777777" w:rsidR="00200FC3" w:rsidRPr="006D2256" w:rsidRDefault="001476F8" w:rsidP="00200FC3">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64384" behindDoc="0" locked="0" layoutInCell="1" allowOverlap="1" wp14:anchorId="714BD127" wp14:editId="04A3B796">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 Verbindung 3" style="position:absolute;flip:y;z-index:251664384;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margin;mso-height-relative:margin" o:spid="_x0000_s1026" strokecolor="windowText" strokeweight=".5pt" from="0,-10.55pt" to="479.05pt,-10.55pt" w14:anchorId="7977124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v:stroke joinstyle="miter"/>
              <o:lock v:ext="edit" shapetype="f"/>
              <w10:wrap anchorx="margin"/>
            </v:line>
          </w:pict>
        </mc:Fallback>
      </mc:AlternateContent>
    </w:r>
    <w:r w:rsidR="00200FC3" w:rsidRPr="006D2256">
      <w:rPr>
        <w:sz w:val="18"/>
        <w:szCs w:val="18"/>
      </w:rPr>
      <w:fldChar w:fldCharType="begin"/>
    </w:r>
    <w:r w:rsidR="00200FC3" w:rsidRPr="006D2256">
      <w:rPr>
        <w:sz w:val="18"/>
        <w:szCs w:val="18"/>
      </w:rPr>
      <w:instrText>PAGE   \* MERGEFORMAT</w:instrText>
    </w:r>
    <w:r w:rsidR="00200FC3" w:rsidRPr="006D2256">
      <w:rPr>
        <w:sz w:val="18"/>
        <w:szCs w:val="18"/>
      </w:rPr>
      <w:fldChar w:fldCharType="separate"/>
    </w:r>
    <w:r w:rsidR="00200FC3">
      <w:rPr>
        <w:sz w:val="18"/>
        <w:szCs w:val="18"/>
      </w:rPr>
      <w:t>1</w:t>
    </w:r>
    <w:r w:rsidR="00200FC3" w:rsidRPr="006D225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06EF" w14:textId="77777777" w:rsidR="00BD0042" w:rsidRDefault="00BD00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20A8F4" w14:textId="77777777" w:rsidR="002A734D" w:rsidRDefault="002A734D" w:rsidP="003F4354">
      <w:pPr>
        <w:spacing w:after="0" w:line="240" w:lineRule="auto"/>
      </w:pPr>
      <w:r>
        <w:separator/>
      </w:r>
    </w:p>
  </w:footnote>
  <w:footnote w:type="continuationSeparator" w:id="0">
    <w:p w14:paraId="69B1CA6D" w14:textId="77777777" w:rsidR="002A734D" w:rsidRDefault="002A734D"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345F8E" w14:textId="77777777" w:rsidR="00BD0042" w:rsidRDefault="00BD004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BE39E" w14:textId="77777777" w:rsidR="003F4354" w:rsidRPr="00410979" w:rsidRDefault="001476F8"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62336" behindDoc="1" locked="0" layoutInCell="1" allowOverlap="1" wp14:anchorId="1BF13E61" wp14:editId="10F2D6F3">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1646863614"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4144" behindDoc="0" locked="0" layoutInCell="1" allowOverlap="1" wp14:anchorId="4F2CD53C" wp14:editId="05FD380A">
              <wp:simplePos x="0" y="0"/>
              <wp:positionH relativeFrom="margin">
                <wp:posOffset>3604260</wp:posOffset>
              </wp:positionH>
              <wp:positionV relativeFrom="paragraph">
                <wp:posOffset>35560</wp:posOffset>
              </wp:positionV>
              <wp:extent cx="2511425" cy="390525"/>
              <wp:effectExtent l="0" t="0" r="0" b="0"/>
              <wp:wrapNone/>
              <wp:docPr id="85052329"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17C6B70F" w14:textId="4989301A" w:rsidR="003F4354" w:rsidRPr="00092E73" w:rsidRDefault="00F20ABF"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2CD53C" id="_x0000_t202" coordsize="21600,21600" o:spt="202" path="m,l,21600r21600,l21600,xe">
              <v:stroke joinstyle="miter"/>
              <v:path gradientshapeok="t" o:connecttype="rect"/>
            </v:shapetype>
            <v:shape id="Textfeld 11" o:spid="_x0000_s1026" type="#_x0000_t202" style="position:absolute;margin-left:283.8pt;margin-top:2.8pt;width:197.75pt;height:30.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17C6B70F" w14:textId="4989301A" w:rsidR="003F4354" w:rsidRPr="00092E73" w:rsidRDefault="00F20ABF"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v:textbox>
              <w10:wrap anchorx="margin"/>
            </v:shape>
          </w:pict>
        </mc:Fallback>
      </mc:AlternateContent>
    </w:r>
    <w:r>
      <w:rPr>
        <w:noProof/>
      </w:rPr>
      <w:drawing>
        <wp:anchor distT="0" distB="0" distL="114300" distR="114300" simplePos="0" relativeHeight="251652096" behindDoc="1" locked="0" layoutInCell="1" allowOverlap="1" wp14:anchorId="5E5B97EB" wp14:editId="7AE00CBA">
          <wp:simplePos x="0" y="0"/>
          <wp:positionH relativeFrom="column">
            <wp:posOffset>6955155</wp:posOffset>
          </wp:positionH>
          <wp:positionV relativeFrom="paragraph">
            <wp:posOffset>-51435</wp:posOffset>
          </wp:positionV>
          <wp:extent cx="7588885" cy="1441450"/>
          <wp:effectExtent l="0" t="0" r="0" b="0"/>
          <wp:wrapNone/>
          <wp:docPr id="693687130"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0617F7CC" w14:textId="77777777" w:rsidR="003F4354" w:rsidRDefault="003F4354" w:rsidP="003F4354">
    <w:pPr>
      <w:pStyle w:val="Kopfzeile"/>
      <w:tabs>
        <w:tab w:val="left" w:pos="3870"/>
        <w:tab w:val="left" w:pos="4350"/>
        <w:tab w:val="center" w:pos="4749"/>
        <w:tab w:val="left" w:pos="5895"/>
      </w:tabs>
    </w:pPr>
    <w:r>
      <w:tab/>
    </w:r>
    <w:r>
      <w:tab/>
    </w:r>
    <w:r>
      <w:tab/>
    </w:r>
    <w:r>
      <w:tab/>
    </w:r>
  </w:p>
  <w:p w14:paraId="608A06F4" w14:textId="77777777" w:rsidR="003F4354" w:rsidRDefault="003F4354" w:rsidP="003F4354">
    <w:pPr>
      <w:tabs>
        <w:tab w:val="left" w:pos="3375"/>
        <w:tab w:val="left" w:pos="4130"/>
        <w:tab w:val="left" w:pos="6210"/>
      </w:tabs>
    </w:pPr>
    <w:r>
      <w:tab/>
    </w:r>
    <w:r>
      <w:tab/>
    </w:r>
    <w:r>
      <w:tab/>
    </w:r>
  </w:p>
  <w:p w14:paraId="2A39A12C" w14:textId="77777777" w:rsidR="003F4354" w:rsidRPr="002C1A3D" w:rsidRDefault="001476F8" w:rsidP="003F4354">
    <w:pPr>
      <w:pStyle w:val="Kopfzeile"/>
    </w:pPr>
    <w:r>
      <w:rPr>
        <w:noProof/>
      </w:rPr>
      <mc:AlternateContent>
        <mc:Choice Requires="wps">
          <w:drawing>
            <wp:anchor distT="0" distB="0" distL="114300" distR="114300" simplePos="0" relativeHeight="251660288" behindDoc="0" locked="0" layoutInCell="1" allowOverlap="1" wp14:anchorId="00552D2A" wp14:editId="5EB265D2">
              <wp:simplePos x="0" y="0"/>
              <wp:positionH relativeFrom="margin">
                <wp:posOffset>2575560</wp:posOffset>
              </wp:positionH>
              <wp:positionV relativeFrom="paragraph">
                <wp:posOffset>342265</wp:posOffset>
              </wp:positionV>
              <wp:extent cx="2130425" cy="304800"/>
              <wp:effectExtent l="0" t="0" r="0" b="0"/>
              <wp:wrapNone/>
              <wp:docPr id="1559117938"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52D2A" id="Textfeld 9" o:spid="_x0000_s1027" type="#_x0000_t202" style="position:absolute;margin-left:202.8pt;margin-top:26.95pt;width:167.75pt;height:24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0" behindDoc="0" locked="0" layoutInCell="1" allowOverlap="1" wp14:anchorId="7CF900A7" wp14:editId="779B0D50">
              <wp:simplePos x="0" y="0"/>
              <wp:positionH relativeFrom="margin">
                <wp:align>left</wp:align>
              </wp:positionH>
              <wp:positionV relativeFrom="paragraph">
                <wp:posOffset>221615</wp:posOffset>
              </wp:positionV>
              <wp:extent cx="2130425" cy="444500"/>
              <wp:effectExtent l="0" t="0" r="0" b="0"/>
              <wp:wrapNone/>
              <wp:docPr id="2070178102"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3982581" w14:textId="1495DF30" w:rsidR="003F4354" w:rsidRPr="00F20ABF" w:rsidRDefault="00F20ABF" w:rsidP="003F4354">
                          <w:pPr>
                            <w:pStyle w:val="EinfAbs"/>
                            <w:spacing w:line="276" w:lineRule="auto"/>
                            <w:rPr>
                              <w:rFonts w:ascii="Arial" w:hAnsi="Arial" w:cs="Arial"/>
                              <w:b/>
                              <w:bCs/>
                              <w:color w:val="595959"/>
                              <w:position w:val="2"/>
                              <w:sz w:val="16"/>
                              <w:szCs w:val="16"/>
                              <w:lang w:val="en-US"/>
                            </w:rPr>
                          </w:pPr>
                          <w:r w:rsidRPr="00F20ABF">
                            <w:rPr>
                              <w:rFonts w:ascii="Arial" w:hAnsi="Arial" w:cs="Arial"/>
                              <w:b/>
                              <w:bCs/>
                              <w:color w:val="4C4C4C"/>
                              <w:position w:val="2"/>
                              <w:sz w:val="16"/>
                              <w:szCs w:val="16"/>
                              <w:lang w:val="en-US"/>
                            </w:rPr>
                            <w:t>C</w:t>
                          </w:r>
                          <w:r w:rsidR="003F4354" w:rsidRPr="00F20ABF">
                            <w:rPr>
                              <w:rFonts w:ascii="Arial" w:hAnsi="Arial" w:cs="Arial"/>
                              <w:b/>
                              <w:bCs/>
                              <w:color w:val="4C4C4C"/>
                              <w:position w:val="2"/>
                              <w:sz w:val="16"/>
                              <w:szCs w:val="16"/>
                              <w:lang w:val="en-US"/>
                            </w:rPr>
                            <w:t>onta</w:t>
                          </w:r>
                          <w:r w:rsidRPr="00F20ABF">
                            <w:rPr>
                              <w:rFonts w:ascii="Arial" w:hAnsi="Arial" w:cs="Arial"/>
                              <w:b/>
                              <w:bCs/>
                              <w:color w:val="4C4C4C"/>
                              <w:position w:val="2"/>
                              <w:sz w:val="16"/>
                              <w:szCs w:val="16"/>
                              <w:lang w:val="en-US"/>
                            </w:rPr>
                            <w:t>c</w:t>
                          </w:r>
                          <w:r w:rsidR="003F4354" w:rsidRPr="00F20ABF">
                            <w:rPr>
                              <w:rFonts w:ascii="Arial" w:hAnsi="Arial" w:cs="Arial"/>
                              <w:b/>
                              <w:bCs/>
                              <w:color w:val="4C4C4C"/>
                              <w:position w:val="2"/>
                              <w:sz w:val="16"/>
                              <w:szCs w:val="16"/>
                              <w:lang w:val="en-US"/>
                            </w:rPr>
                            <w:t xml:space="preserve">t </w:t>
                          </w:r>
                          <w:r w:rsidR="003F4354" w:rsidRPr="00F20ABF">
                            <w:rPr>
                              <w:rFonts w:ascii="Arial" w:hAnsi="Arial" w:cs="Arial"/>
                              <w:b/>
                              <w:bCs/>
                              <w:color w:val="595959"/>
                              <w:position w:val="2"/>
                              <w:sz w:val="16"/>
                              <w:szCs w:val="16"/>
                              <w:lang w:val="en-US"/>
                            </w:rPr>
                            <w:t>Technical Communication:</w:t>
                          </w:r>
                        </w:p>
                        <w:p w14:paraId="6EE38F4A" w14:textId="77777777" w:rsidR="003F4354" w:rsidRPr="00F20ABF" w:rsidRDefault="003F4354" w:rsidP="003F4354">
                          <w:pPr>
                            <w:pStyle w:val="EinfAbs"/>
                            <w:tabs>
                              <w:tab w:val="left" w:pos="454"/>
                            </w:tabs>
                            <w:spacing w:line="276" w:lineRule="auto"/>
                            <w:rPr>
                              <w:rFonts w:ascii="Arial" w:hAnsi="Arial" w:cs="Arial"/>
                              <w:color w:val="4C4C4C"/>
                              <w:position w:val="2"/>
                              <w:sz w:val="16"/>
                              <w:szCs w:val="16"/>
                              <w:lang w:val="en-US"/>
                            </w:rPr>
                          </w:pPr>
                          <w:r w:rsidRPr="00F20ABF">
                            <w:rPr>
                              <w:rFonts w:ascii="Arial" w:hAnsi="Arial" w:cs="Arial"/>
                              <w:color w:val="4C4C4C"/>
                              <w:position w:val="2"/>
                              <w:sz w:val="16"/>
                              <w:szCs w:val="16"/>
                              <w:lang w:val="en-US"/>
                            </w:rPr>
                            <w:t>Eva Manzenreiter</w:t>
                          </w:r>
                        </w:p>
                        <w:p w14:paraId="71F25C39" w14:textId="77777777" w:rsidR="00BD0042" w:rsidRPr="00BD0042" w:rsidRDefault="00BD0042" w:rsidP="00BD0042">
                          <w:pPr>
                            <w:pStyle w:val="EinfAbs"/>
                            <w:rPr>
                              <w:rFonts w:ascii="Arial" w:hAnsi="Arial"/>
                              <w:color w:val="4C4C4C"/>
                              <w:position w:val="2"/>
                              <w:sz w:val="16"/>
                              <w:szCs w:val="16"/>
                            </w:rPr>
                          </w:pPr>
                          <w:r w:rsidRPr="00BD0042">
                            <w:rPr>
                              <w:rFonts w:ascii="Arial" w:hAnsi="Arial"/>
                              <w:color w:val="4C4C4C"/>
                              <w:position w:val="2"/>
                              <w:sz w:val="16"/>
                              <w:szCs w:val="16"/>
                            </w:rPr>
                            <w:t>DMG MORI EMEA Holding GmbH</w:t>
                          </w:r>
                        </w:p>
                        <w:p w14:paraId="2AFD0A63" w14:textId="55FD4FFC" w:rsidR="003F4354" w:rsidRPr="00F20ABF" w:rsidRDefault="003F4354" w:rsidP="00BD0042">
                          <w:pPr>
                            <w:pStyle w:val="EinfAbs"/>
                            <w:tabs>
                              <w:tab w:val="left" w:pos="454"/>
                            </w:tabs>
                            <w:spacing w:line="276" w:lineRule="auto"/>
                            <w:rPr>
                              <w:rFonts w:ascii="Arial" w:hAnsi="Arial" w:cs="Arial"/>
                              <w:color w:val="4C4C4C"/>
                              <w:position w:val="2"/>
                              <w:sz w:val="16"/>
                              <w:szCs w:val="16"/>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900A7" id="Textfeld 7" o:spid="_x0000_s1028" type="#_x0000_t202" style="position:absolute;margin-left:0;margin-top:17.45pt;width:167.75pt;height:3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3982581" w14:textId="1495DF30" w:rsidR="003F4354" w:rsidRPr="00F20ABF" w:rsidRDefault="00F20ABF" w:rsidP="003F4354">
                    <w:pPr>
                      <w:pStyle w:val="EinfAbs"/>
                      <w:spacing w:line="276" w:lineRule="auto"/>
                      <w:rPr>
                        <w:rFonts w:ascii="Arial" w:hAnsi="Arial" w:cs="Arial"/>
                        <w:b/>
                        <w:bCs/>
                        <w:color w:val="595959"/>
                        <w:position w:val="2"/>
                        <w:sz w:val="16"/>
                        <w:szCs w:val="16"/>
                        <w:lang w:val="en-US"/>
                      </w:rPr>
                    </w:pPr>
                    <w:r w:rsidRPr="00F20ABF">
                      <w:rPr>
                        <w:rFonts w:ascii="Arial" w:hAnsi="Arial" w:cs="Arial"/>
                        <w:b/>
                        <w:bCs/>
                        <w:color w:val="4C4C4C"/>
                        <w:position w:val="2"/>
                        <w:sz w:val="16"/>
                        <w:szCs w:val="16"/>
                        <w:lang w:val="en-US"/>
                      </w:rPr>
                      <w:t>C</w:t>
                    </w:r>
                    <w:r w:rsidR="003F4354" w:rsidRPr="00F20ABF">
                      <w:rPr>
                        <w:rFonts w:ascii="Arial" w:hAnsi="Arial" w:cs="Arial"/>
                        <w:b/>
                        <w:bCs/>
                        <w:color w:val="4C4C4C"/>
                        <w:position w:val="2"/>
                        <w:sz w:val="16"/>
                        <w:szCs w:val="16"/>
                        <w:lang w:val="en-US"/>
                      </w:rPr>
                      <w:t>onta</w:t>
                    </w:r>
                    <w:r w:rsidRPr="00F20ABF">
                      <w:rPr>
                        <w:rFonts w:ascii="Arial" w:hAnsi="Arial" w:cs="Arial"/>
                        <w:b/>
                        <w:bCs/>
                        <w:color w:val="4C4C4C"/>
                        <w:position w:val="2"/>
                        <w:sz w:val="16"/>
                        <w:szCs w:val="16"/>
                        <w:lang w:val="en-US"/>
                      </w:rPr>
                      <w:t>c</w:t>
                    </w:r>
                    <w:r w:rsidR="003F4354" w:rsidRPr="00F20ABF">
                      <w:rPr>
                        <w:rFonts w:ascii="Arial" w:hAnsi="Arial" w:cs="Arial"/>
                        <w:b/>
                        <w:bCs/>
                        <w:color w:val="4C4C4C"/>
                        <w:position w:val="2"/>
                        <w:sz w:val="16"/>
                        <w:szCs w:val="16"/>
                        <w:lang w:val="en-US"/>
                      </w:rPr>
                      <w:t xml:space="preserve">t </w:t>
                    </w:r>
                    <w:r w:rsidR="003F4354" w:rsidRPr="00F20ABF">
                      <w:rPr>
                        <w:rFonts w:ascii="Arial" w:hAnsi="Arial" w:cs="Arial"/>
                        <w:b/>
                        <w:bCs/>
                        <w:color w:val="595959"/>
                        <w:position w:val="2"/>
                        <w:sz w:val="16"/>
                        <w:szCs w:val="16"/>
                        <w:lang w:val="en-US"/>
                      </w:rPr>
                      <w:t>Technical Communication:</w:t>
                    </w:r>
                  </w:p>
                  <w:p w14:paraId="6EE38F4A" w14:textId="77777777" w:rsidR="003F4354" w:rsidRPr="00F20ABF" w:rsidRDefault="003F4354" w:rsidP="003F4354">
                    <w:pPr>
                      <w:pStyle w:val="EinfAbs"/>
                      <w:tabs>
                        <w:tab w:val="left" w:pos="454"/>
                      </w:tabs>
                      <w:spacing w:line="276" w:lineRule="auto"/>
                      <w:rPr>
                        <w:rFonts w:ascii="Arial" w:hAnsi="Arial" w:cs="Arial"/>
                        <w:color w:val="4C4C4C"/>
                        <w:position w:val="2"/>
                        <w:sz w:val="16"/>
                        <w:szCs w:val="16"/>
                        <w:lang w:val="en-US"/>
                      </w:rPr>
                    </w:pPr>
                    <w:r w:rsidRPr="00F20ABF">
                      <w:rPr>
                        <w:rFonts w:ascii="Arial" w:hAnsi="Arial" w:cs="Arial"/>
                        <w:color w:val="4C4C4C"/>
                        <w:position w:val="2"/>
                        <w:sz w:val="16"/>
                        <w:szCs w:val="16"/>
                        <w:lang w:val="en-US"/>
                      </w:rPr>
                      <w:t>Eva Manzenreiter</w:t>
                    </w:r>
                  </w:p>
                  <w:p w14:paraId="71F25C39" w14:textId="77777777" w:rsidR="00BD0042" w:rsidRPr="00BD0042" w:rsidRDefault="00BD0042" w:rsidP="00BD0042">
                    <w:pPr>
                      <w:pStyle w:val="EinfAbs"/>
                      <w:rPr>
                        <w:rFonts w:ascii="Arial" w:hAnsi="Arial"/>
                        <w:color w:val="4C4C4C"/>
                        <w:position w:val="2"/>
                        <w:sz w:val="16"/>
                        <w:szCs w:val="16"/>
                      </w:rPr>
                    </w:pPr>
                    <w:r w:rsidRPr="00BD0042">
                      <w:rPr>
                        <w:rFonts w:ascii="Arial" w:hAnsi="Arial"/>
                        <w:color w:val="4C4C4C"/>
                        <w:position w:val="2"/>
                        <w:sz w:val="16"/>
                        <w:szCs w:val="16"/>
                      </w:rPr>
                      <w:t>DMG MORI EMEA Holding GmbH</w:t>
                    </w:r>
                  </w:p>
                  <w:p w14:paraId="2AFD0A63" w14:textId="55FD4FFC" w:rsidR="003F4354" w:rsidRPr="00F20ABF" w:rsidRDefault="003F4354" w:rsidP="00BD0042">
                    <w:pPr>
                      <w:pStyle w:val="EinfAbs"/>
                      <w:tabs>
                        <w:tab w:val="left" w:pos="454"/>
                      </w:tabs>
                      <w:spacing w:line="276" w:lineRule="auto"/>
                      <w:rPr>
                        <w:rFonts w:ascii="Arial" w:hAnsi="Arial" w:cs="Arial"/>
                        <w:color w:val="4C4C4C"/>
                        <w:position w:val="2"/>
                        <w:sz w:val="16"/>
                        <w:szCs w:val="16"/>
                        <w:lang w:val="en-US"/>
                      </w:rPr>
                    </w:pPr>
                  </w:p>
                </w:txbxContent>
              </v:textbox>
              <w10:wrap anchorx="margin"/>
            </v:shape>
          </w:pict>
        </mc:Fallback>
      </mc:AlternateContent>
    </w:r>
    <w:bookmarkEnd w:id="0"/>
    <w:bookmarkEnd w:id="1"/>
  </w:p>
  <w:p w14:paraId="7FE8E95A" w14:textId="77777777" w:rsidR="003F4354" w:rsidRDefault="001476F8">
    <w:pPr>
      <w:pStyle w:val="Kopfzeile"/>
    </w:pPr>
    <w:r>
      <w:rPr>
        <w:noProof/>
      </w:rPr>
      <mc:AlternateContent>
        <mc:Choice Requires="wps">
          <w:drawing>
            <wp:anchor distT="4294967294" distB="4294967294" distL="114300" distR="114300" simplePos="0" relativeHeight="251656192" behindDoc="0" locked="0" layoutInCell="1" allowOverlap="1" wp14:anchorId="125A9FA4" wp14:editId="39AB0782">
              <wp:simplePos x="0" y="0"/>
              <wp:positionH relativeFrom="margin">
                <wp:posOffset>0</wp:posOffset>
              </wp:positionH>
              <wp:positionV relativeFrom="paragraph">
                <wp:posOffset>544829</wp:posOffset>
              </wp:positionV>
              <wp:extent cx="6083935" cy="0"/>
              <wp:effectExtent l="0" t="0" r="0" b="0"/>
              <wp:wrapNone/>
              <wp:docPr id="1767917822"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Gerade Verbindung 5" style="position:absolute;flip:y;z-index:251656192;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o:spid="_x0000_s1026" strokecolor="windowText" strokeweight=".5pt" from="0,42.9pt" to="479.05pt,42.9pt" w14:anchorId="472ABEA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">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C75EBA" w14:textId="77777777" w:rsidR="00BD0042" w:rsidRDefault="00BD00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FD782A"/>
    <w:multiLevelType w:val="hybridMultilevel"/>
    <w:tmpl w:val="6A9EA5BE"/>
    <w:lvl w:ilvl="0" w:tplc="C1EE77E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E1ABE"/>
    <w:multiLevelType w:val="hybridMultilevel"/>
    <w:tmpl w:val="25685FAA"/>
    <w:lvl w:ilvl="0" w:tplc="F6326898">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7C25D6"/>
    <w:multiLevelType w:val="hybridMultilevel"/>
    <w:tmpl w:val="E264DC6E"/>
    <w:lvl w:ilvl="0" w:tplc="914EF28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2303428"/>
    <w:multiLevelType w:val="hybridMultilevel"/>
    <w:tmpl w:val="56F69D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A83D87"/>
    <w:multiLevelType w:val="hybridMultilevel"/>
    <w:tmpl w:val="57327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012CAA"/>
    <w:multiLevelType w:val="hybridMultilevel"/>
    <w:tmpl w:val="4D867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97177039">
    <w:abstractNumId w:val="0"/>
  </w:num>
  <w:num w:numId="2" w16cid:durableId="1932859125">
    <w:abstractNumId w:val="6"/>
  </w:num>
  <w:num w:numId="3" w16cid:durableId="267275335">
    <w:abstractNumId w:val="2"/>
  </w:num>
  <w:num w:numId="4" w16cid:durableId="347175202">
    <w:abstractNumId w:val="5"/>
  </w:num>
  <w:num w:numId="5" w16cid:durableId="1495607179">
    <w:abstractNumId w:val="3"/>
  </w:num>
  <w:num w:numId="6" w16cid:durableId="509561842">
    <w:abstractNumId w:val="4"/>
  </w:num>
  <w:num w:numId="7" w16cid:durableId="57559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979"/>
    <w:rsid w:val="0000741D"/>
    <w:rsid w:val="000229C2"/>
    <w:rsid w:val="000712AB"/>
    <w:rsid w:val="00072DEF"/>
    <w:rsid w:val="00094C77"/>
    <w:rsid w:val="000B195E"/>
    <w:rsid w:val="000E7FC8"/>
    <w:rsid w:val="001476F8"/>
    <w:rsid w:val="0015648B"/>
    <w:rsid w:val="00165F0B"/>
    <w:rsid w:val="00171567"/>
    <w:rsid w:val="0018223F"/>
    <w:rsid w:val="001906A8"/>
    <w:rsid w:val="00194AEB"/>
    <w:rsid w:val="001B29BD"/>
    <w:rsid w:val="001C6F68"/>
    <w:rsid w:val="00200FC3"/>
    <w:rsid w:val="002247C5"/>
    <w:rsid w:val="00240A32"/>
    <w:rsid w:val="002509C9"/>
    <w:rsid w:val="002572A0"/>
    <w:rsid w:val="002A72E1"/>
    <w:rsid w:val="002A734D"/>
    <w:rsid w:val="002C7E0F"/>
    <w:rsid w:val="002E5CCC"/>
    <w:rsid w:val="002F02B2"/>
    <w:rsid w:val="00363954"/>
    <w:rsid w:val="00396623"/>
    <w:rsid w:val="003A4C63"/>
    <w:rsid w:val="003B771E"/>
    <w:rsid w:val="003F4354"/>
    <w:rsid w:val="003F59C4"/>
    <w:rsid w:val="00410979"/>
    <w:rsid w:val="00461D31"/>
    <w:rsid w:val="004D0FA6"/>
    <w:rsid w:val="004D575D"/>
    <w:rsid w:val="004E0311"/>
    <w:rsid w:val="004E26A3"/>
    <w:rsid w:val="004F22AB"/>
    <w:rsid w:val="004F4CDE"/>
    <w:rsid w:val="005165E8"/>
    <w:rsid w:val="00521109"/>
    <w:rsid w:val="00544756"/>
    <w:rsid w:val="00551701"/>
    <w:rsid w:val="00576F88"/>
    <w:rsid w:val="005962CE"/>
    <w:rsid w:val="005B4E79"/>
    <w:rsid w:val="005B5B9E"/>
    <w:rsid w:val="0061632A"/>
    <w:rsid w:val="006267A2"/>
    <w:rsid w:val="00651DBC"/>
    <w:rsid w:val="006757F0"/>
    <w:rsid w:val="00683936"/>
    <w:rsid w:val="006979D2"/>
    <w:rsid w:val="006E1C89"/>
    <w:rsid w:val="00706EA1"/>
    <w:rsid w:val="00717543"/>
    <w:rsid w:val="0072354D"/>
    <w:rsid w:val="0076505B"/>
    <w:rsid w:val="007A4ABF"/>
    <w:rsid w:val="007B28A8"/>
    <w:rsid w:val="007C4B6D"/>
    <w:rsid w:val="00806E13"/>
    <w:rsid w:val="0087028C"/>
    <w:rsid w:val="00870C3D"/>
    <w:rsid w:val="0088430E"/>
    <w:rsid w:val="00885C83"/>
    <w:rsid w:val="008E42C3"/>
    <w:rsid w:val="0093400E"/>
    <w:rsid w:val="009770B2"/>
    <w:rsid w:val="009C2C1B"/>
    <w:rsid w:val="00A12134"/>
    <w:rsid w:val="00A134A7"/>
    <w:rsid w:val="00AA1950"/>
    <w:rsid w:val="00B137F4"/>
    <w:rsid w:val="00B2668A"/>
    <w:rsid w:val="00B30A3F"/>
    <w:rsid w:val="00B3264C"/>
    <w:rsid w:val="00B41E8F"/>
    <w:rsid w:val="00B57A47"/>
    <w:rsid w:val="00B72177"/>
    <w:rsid w:val="00B91096"/>
    <w:rsid w:val="00BD0042"/>
    <w:rsid w:val="00BF412D"/>
    <w:rsid w:val="00BF62FB"/>
    <w:rsid w:val="00C32DEF"/>
    <w:rsid w:val="00C52667"/>
    <w:rsid w:val="00C82D87"/>
    <w:rsid w:val="00CB69A2"/>
    <w:rsid w:val="00D3653C"/>
    <w:rsid w:val="00D540BA"/>
    <w:rsid w:val="00D67734"/>
    <w:rsid w:val="00D970E2"/>
    <w:rsid w:val="00DD5A5F"/>
    <w:rsid w:val="00DE7D1E"/>
    <w:rsid w:val="00DF2B1F"/>
    <w:rsid w:val="00E41A4E"/>
    <w:rsid w:val="00E44F57"/>
    <w:rsid w:val="00E47C34"/>
    <w:rsid w:val="00E74CE0"/>
    <w:rsid w:val="00EC2140"/>
    <w:rsid w:val="00ED0252"/>
    <w:rsid w:val="00F20ABF"/>
    <w:rsid w:val="00F57280"/>
    <w:rsid w:val="00F945D0"/>
    <w:rsid w:val="00F9659A"/>
    <w:rsid w:val="23143784"/>
    <w:rsid w:val="26A98A52"/>
    <w:rsid w:val="275504E1"/>
    <w:rsid w:val="3C77B89B"/>
    <w:rsid w:val="4DBAE93A"/>
    <w:rsid w:val="5081B5D4"/>
    <w:rsid w:val="572FA7C9"/>
    <w:rsid w:val="60D4C77D"/>
    <w:rsid w:val="6BAB5FB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81257"/>
  <w15:chartTrackingRefBased/>
  <w15:docId w15:val="{F02A5967-FE44-574F-BC1E-3E69E47BA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410979"/>
    <w:rPr>
      <w:sz w:val="22"/>
      <w:szCs w:val="22"/>
      <w:lang w:val="en-US" w:eastAsia="en-US"/>
    </w:rPr>
  </w:style>
  <w:style w:type="paragraph" w:customStyle="1" w:styleId="p1">
    <w:name w:val="p1"/>
    <w:basedOn w:val="Standard"/>
    <w:rsid w:val="003F59C4"/>
    <w:pPr>
      <w:spacing w:before="100" w:beforeAutospacing="1" w:after="100" w:afterAutospacing="1" w:line="240" w:lineRule="auto"/>
    </w:pPr>
    <w:rPr>
      <w:rFonts w:ascii="Times New Roman" w:eastAsia="Times New Roman" w:hAnsi="Times New Roman" w:cs="Times New Roman"/>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533072">
      <w:bodyDiv w:val="1"/>
      <w:marLeft w:val="0"/>
      <w:marRight w:val="0"/>
      <w:marTop w:val="0"/>
      <w:marBottom w:val="0"/>
      <w:divBdr>
        <w:top w:val="none" w:sz="0" w:space="0" w:color="auto"/>
        <w:left w:val="none" w:sz="0" w:space="0" w:color="auto"/>
        <w:bottom w:val="none" w:sz="0" w:space="0" w:color="auto"/>
        <w:right w:val="none" w:sz="0" w:space="0" w:color="auto"/>
      </w:divBdr>
    </w:div>
    <w:div w:id="489062165">
      <w:bodyDiv w:val="1"/>
      <w:marLeft w:val="0"/>
      <w:marRight w:val="0"/>
      <w:marTop w:val="0"/>
      <w:marBottom w:val="0"/>
      <w:divBdr>
        <w:top w:val="none" w:sz="0" w:space="0" w:color="auto"/>
        <w:left w:val="none" w:sz="0" w:space="0" w:color="auto"/>
        <w:bottom w:val="none" w:sz="0" w:space="0" w:color="auto"/>
        <w:right w:val="none" w:sz="0" w:space="0" w:color="auto"/>
      </w:divBdr>
    </w:div>
    <w:div w:id="1342394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953</Words>
  <Characters>5435</Characters>
  <Application>Microsoft Office Word</Application>
  <DocSecurity>0</DocSecurity>
  <Lines>45</Lines>
  <Paragraphs>12</Paragraphs>
  <ScaleCrop>false</ScaleCrop>
  <Company/>
  <LinksUpToDate>false</LinksUpToDate>
  <CharactersWithSpaces>6376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27</cp:revision>
  <dcterms:created xsi:type="dcterms:W3CDTF">2025-08-14T11:28:00Z</dcterms:created>
  <dcterms:modified xsi:type="dcterms:W3CDTF">2025-09-15T10:09:00Z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