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1B426C" w14:textId="4C3ED60E" w:rsidR="001906A8" w:rsidRPr="00410979" w:rsidRDefault="005D7159" w:rsidP="00410979">
      <w:pPr>
        <w:spacing w:after="120" w:line="288" w:lineRule="auto"/>
        <w:jc w:val="both"/>
        <w:rPr>
          <w:rFonts w:ascii="Arial" w:hAnsi="Arial"/>
          <w:lang w:val="de-DE"/>
        </w:rPr>
      </w:pPr>
      <w:r w:rsidRPr="00DE115A">
        <w:rPr>
          <w:rFonts w:ascii="Arial" w:hAnsi="Arial"/>
          <w:lang w:val="de-DE"/>
        </w:rPr>
        <w:t>Innovation:</w:t>
      </w:r>
      <w:r>
        <w:rPr>
          <w:rFonts w:ascii="Arial" w:hAnsi="Arial"/>
          <w:lang w:val="de-DE"/>
        </w:rPr>
        <w:t xml:space="preserve"> </w:t>
      </w:r>
      <w:r w:rsidR="00363954">
        <w:rPr>
          <w:rFonts w:ascii="Arial" w:hAnsi="Arial"/>
          <w:lang w:val="de-DE"/>
        </w:rPr>
        <w:t>DMG MORI Technologiezyklen</w:t>
      </w:r>
    </w:p>
    <w:p w14:paraId="25D01CC7" w14:textId="7FF329A7" w:rsidR="001906A8" w:rsidRPr="00410979" w:rsidRDefault="00683936" w:rsidP="00410979">
      <w:pPr>
        <w:pStyle w:val="02Aufzhlung"/>
        <w:numPr>
          <w:ilvl w:val="0"/>
          <w:numId w:val="0"/>
        </w:numPr>
        <w:tabs>
          <w:tab w:val="clear" w:pos="340"/>
          <w:tab w:val="left" w:pos="227"/>
        </w:tabs>
        <w:rPr>
          <w:rFonts w:ascii="Arial" w:hAnsi="Arial" w:cs="Arial"/>
          <w:b/>
        </w:rPr>
      </w:pPr>
      <w:r>
        <w:rPr>
          <w:rFonts w:ascii="Arial" w:hAnsi="Arial" w:cs="Arial"/>
          <w:b/>
          <w:bCs/>
          <w:spacing w:val="2"/>
          <w:sz w:val="35"/>
          <w:szCs w:val="35"/>
        </w:rPr>
        <w:t>Tieflochbohren und Entgraten einfach programmiert</w:t>
      </w:r>
    </w:p>
    <w:p w14:paraId="3BECB537" w14:textId="1CB49CB8" w:rsidR="001906A8" w:rsidRDefault="001906A8" w:rsidP="0E3CAAA1">
      <w:pPr>
        <w:spacing w:before="240" w:after="120" w:line="288" w:lineRule="auto"/>
        <w:jc w:val="both"/>
        <w:rPr>
          <w:rFonts w:ascii="Arial" w:eastAsia="Calibri" w:hAnsi="Arial"/>
          <w:color w:val="000000"/>
          <w:lang w:val="de-DE"/>
        </w:rPr>
      </w:pPr>
      <w:r w:rsidRPr="0E3CAAA1">
        <w:rPr>
          <w:rFonts w:ascii="Arial" w:eastAsia="Calibri" w:hAnsi="Arial"/>
          <w:b/>
          <w:bCs/>
          <w:color w:val="000000" w:themeColor="text1"/>
          <w:lang w:val="de-DE"/>
        </w:rPr>
        <w:t xml:space="preserve">München. </w:t>
      </w:r>
      <w:r w:rsidR="002509C9" w:rsidRPr="0E3CAAA1">
        <w:rPr>
          <w:rFonts w:ascii="Arial" w:eastAsia="Calibri" w:hAnsi="Arial"/>
          <w:color w:val="000000" w:themeColor="text1"/>
          <w:lang w:val="de-DE"/>
        </w:rPr>
        <w:t>Exklusive D</w:t>
      </w:r>
      <w:r w:rsidR="00410979" w:rsidRPr="0E3CAAA1">
        <w:rPr>
          <w:rFonts w:ascii="Arial" w:eastAsia="Calibri" w:hAnsi="Arial"/>
          <w:color w:val="000000" w:themeColor="text1"/>
          <w:lang w:val="de-DE"/>
        </w:rPr>
        <w:t>MG MORI</w:t>
      </w:r>
      <w:r w:rsidR="002509C9" w:rsidRPr="0E3CAAA1">
        <w:rPr>
          <w:rFonts w:ascii="Arial" w:eastAsia="Calibri" w:hAnsi="Arial"/>
          <w:color w:val="000000" w:themeColor="text1"/>
          <w:lang w:val="de-DE"/>
        </w:rPr>
        <w:t xml:space="preserve"> Technologiezyklen in den Bereichen Handhaben, Messen, Zerspanen und Überwachen unterstützen seit vielen Jahren die CNC-Fertigung, weil sie komplexe Programmieraufgaben vereinfachen und den Funktionsumfang von Werkzeugmaschinen erweitern. Zur </w:t>
      </w:r>
      <w:r w:rsidR="00410979" w:rsidRPr="0E3CAAA1">
        <w:rPr>
          <w:rFonts w:ascii="Arial" w:eastAsia="Calibri" w:hAnsi="Arial"/>
          <w:color w:val="000000" w:themeColor="text1"/>
          <w:lang w:val="de-DE"/>
        </w:rPr>
        <w:t>EMO</w:t>
      </w:r>
      <w:r w:rsidR="24A6D94B" w:rsidRPr="0E3CAAA1">
        <w:rPr>
          <w:rFonts w:ascii="Arial" w:eastAsia="Calibri" w:hAnsi="Arial"/>
          <w:color w:val="000000" w:themeColor="text1"/>
          <w:lang w:val="de-DE"/>
        </w:rPr>
        <w:t xml:space="preserve"> </w:t>
      </w:r>
      <w:r w:rsidR="00410979" w:rsidRPr="0E3CAAA1">
        <w:rPr>
          <w:rFonts w:ascii="Arial" w:eastAsia="Calibri" w:hAnsi="Arial"/>
          <w:color w:val="000000" w:themeColor="text1"/>
          <w:lang w:val="de-DE"/>
        </w:rPr>
        <w:t xml:space="preserve">2025 </w:t>
      </w:r>
      <w:r w:rsidR="002509C9" w:rsidRPr="0E3CAAA1">
        <w:rPr>
          <w:rFonts w:ascii="Arial" w:eastAsia="Calibri" w:hAnsi="Arial"/>
          <w:color w:val="000000" w:themeColor="text1"/>
          <w:lang w:val="de-DE"/>
        </w:rPr>
        <w:t>präsentiert der Innovationsführer d</w:t>
      </w:r>
      <w:r w:rsidR="007A4ABF" w:rsidRPr="0E3CAAA1">
        <w:rPr>
          <w:rFonts w:ascii="Arial" w:eastAsia="Calibri" w:hAnsi="Arial"/>
          <w:color w:val="000000" w:themeColor="text1"/>
          <w:lang w:val="de-DE"/>
        </w:rPr>
        <w:t>ie</w:t>
      </w:r>
      <w:r w:rsidR="00410979" w:rsidRPr="0E3CAAA1">
        <w:rPr>
          <w:rFonts w:ascii="Arial" w:eastAsia="Calibri" w:hAnsi="Arial"/>
          <w:color w:val="000000" w:themeColor="text1"/>
          <w:lang w:val="de-DE"/>
        </w:rPr>
        <w:t xml:space="preserve"> neue</w:t>
      </w:r>
      <w:r w:rsidR="002509C9" w:rsidRPr="0E3CAAA1">
        <w:rPr>
          <w:rFonts w:ascii="Arial" w:eastAsia="Calibri" w:hAnsi="Arial"/>
          <w:color w:val="000000" w:themeColor="text1"/>
          <w:lang w:val="de-DE"/>
        </w:rPr>
        <w:t>n</w:t>
      </w:r>
      <w:r w:rsidR="00410979" w:rsidRPr="0E3CAAA1">
        <w:rPr>
          <w:rFonts w:ascii="Arial" w:eastAsia="Calibri" w:hAnsi="Arial"/>
          <w:color w:val="000000" w:themeColor="text1"/>
          <w:lang w:val="de-DE"/>
        </w:rPr>
        <w:t xml:space="preserve"> </w:t>
      </w:r>
      <w:r w:rsidR="007A4ABF" w:rsidRPr="0E3CAAA1">
        <w:rPr>
          <w:rFonts w:ascii="Arial" w:eastAsia="Calibri" w:hAnsi="Arial"/>
          <w:color w:val="000000" w:themeColor="text1"/>
          <w:lang w:val="de-DE"/>
        </w:rPr>
        <w:t xml:space="preserve">Technologiezyklen </w:t>
      </w:r>
      <w:proofErr w:type="spellStart"/>
      <w:r w:rsidR="00683936" w:rsidRPr="0E3CAAA1">
        <w:rPr>
          <w:rFonts w:ascii="Arial" w:eastAsia="Calibri" w:hAnsi="Arial"/>
          <w:color w:val="000000" w:themeColor="text1"/>
          <w:lang w:val="de-DE"/>
        </w:rPr>
        <w:t>g</w:t>
      </w:r>
      <w:r w:rsidR="00410979" w:rsidRPr="0E3CAAA1">
        <w:rPr>
          <w:rFonts w:ascii="Arial" w:eastAsia="Calibri" w:hAnsi="Arial"/>
          <w:color w:val="000000" w:themeColor="text1"/>
          <w:lang w:val="de-DE"/>
        </w:rPr>
        <w:t>unD</w:t>
      </w:r>
      <w:r w:rsidR="001C6F68" w:rsidRPr="0E3CAAA1">
        <w:rPr>
          <w:rFonts w:ascii="Arial" w:eastAsia="Calibri" w:hAnsi="Arial"/>
          <w:color w:val="000000" w:themeColor="text1"/>
          <w:lang w:val="de-DE"/>
        </w:rPr>
        <w:t>RILLING</w:t>
      </w:r>
      <w:proofErr w:type="spellEnd"/>
      <w:r w:rsidR="00885C83" w:rsidRPr="0E3CAAA1">
        <w:rPr>
          <w:rFonts w:ascii="Arial" w:eastAsia="Calibri" w:hAnsi="Arial"/>
          <w:color w:val="000000" w:themeColor="text1"/>
          <w:lang w:val="de-DE"/>
        </w:rPr>
        <w:t xml:space="preserve"> für die Tieflochbearbeitung</w:t>
      </w:r>
      <w:r w:rsidR="007A4ABF" w:rsidRPr="0E3CAAA1">
        <w:rPr>
          <w:rFonts w:ascii="Arial" w:eastAsia="Calibri" w:hAnsi="Arial"/>
          <w:color w:val="000000" w:themeColor="text1"/>
          <w:lang w:val="de-DE"/>
        </w:rPr>
        <w:t xml:space="preserve"> und </w:t>
      </w:r>
      <w:proofErr w:type="spellStart"/>
      <w:r w:rsidR="007A4ABF" w:rsidRPr="0E3CAAA1">
        <w:rPr>
          <w:rFonts w:ascii="Arial" w:eastAsia="Calibri" w:hAnsi="Arial"/>
          <w:color w:val="000000" w:themeColor="text1"/>
          <w:lang w:val="de-DE"/>
        </w:rPr>
        <w:t>gearDEBURRING</w:t>
      </w:r>
      <w:proofErr w:type="spellEnd"/>
      <w:r w:rsidR="00885C83" w:rsidRPr="0E3CAAA1">
        <w:rPr>
          <w:rFonts w:ascii="Arial" w:eastAsia="Calibri" w:hAnsi="Arial"/>
          <w:color w:val="000000" w:themeColor="text1"/>
          <w:lang w:val="de-DE"/>
        </w:rPr>
        <w:t xml:space="preserve"> für</w:t>
      </w:r>
      <w:r w:rsidR="00683936" w:rsidRPr="0E3CAAA1">
        <w:rPr>
          <w:rFonts w:ascii="Arial" w:eastAsia="Calibri" w:hAnsi="Arial"/>
          <w:color w:val="000000" w:themeColor="text1"/>
          <w:lang w:val="de-DE"/>
        </w:rPr>
        <w:t xml:space="preserve"> das Entgraten von Verzahnungen</w:t>
      </w:r>
      <w:r w:rsidR="00194AEB" w:rsidRPr="0E3CAAA1">
        <w:rPr>
          <w:rFonts w:ascii="Arial" w:eastAsia="Calibri" w:hAnsi="Arial"/>
          <w:color w:val="000000" w:themeColor="text1"/>
          <w:lang w:val="de-DE"/>
        </w:rPr>
        <w:t>.</w:t>
      </w:r>
      <w:r w:rsidR="00885C83" w:rsidRPr="0E3CAAA1">
        <w:rPr>
          <w:rFonts w:ascii="Arial" w:eastAsia="Calibri" w:hAnsi="Arial"/>
          <w:color w:val="000000" w:themeColor="text1"/>
          <w:lang w:val="de-DE"/>
        </w:rPr>
        <w:t xml:space="preserve"> Diese und bereit</w:t>
      </w:r>
      <w:r w:rsidR="00683936" w:rsidRPr="0E3CAAA1">
        <w:rPr>
          <w:rFonts w:ascii="Arial" w:eastAsia="Calibri" w:hAnsi="Arial"/>
          <w:color w:val="000000" w:themeColor="text1"/>
          <w:lang w:val="de-DE"/>
        </w:rPr>
        <w:t>s</w:t>
      </w:r>
      <w:r w:rsidR="00885C83" w:rsidRPr="0E3CAAA1">
        <w:rPr>
          <w:rFonts w:ascii="Arial" w:eastAsia="Calibri" w:hAnsi="Arial"/>
          <w:color w:val="000000" w:themeColor="text1"/>
          <w:lang w:val="de-DE"/>
        </w:rPr>
        <w:t xml:space="preserve"> erf</w:t>
      </w:r>
      <w:r w:rsidR="00683936" w:rsidRPr="0E3CAAA1">
        <w:rPr>
          <w:rFonts w:ascii="Arial" w:eastAsia="Calibri" w:hAnsi="Arial"/>
          <w:color w:val="000000" w:themeColor="text1"/>
          <w:lang w:val="de-DE"/>
        </w:rPr>
        <w:t>ol</w:t>
      </w:r>
      <w:r w:rsidR="00885C83" w:rsidRPr="0E3CAAA1">
        <w:rPr>
          <w:rFonts w:ascii="Arial" w:eastAsia="Calibri" w:hAnsi="Arial"/>
          <w:color w:val="000000" w:themeColor="text1"/>
          <w:lang w:val="de-DE"/>
        </w:rPr>
        <w:t xml:space="preserve">greich eingesetzte Technologiezyklen wie Grinding, </w:t>
      </w:r>
      <w:proofErr w:type="spellStart"/>
      <w:r w:rsidR="00885C83" w:rsidRPr="0E3CAAA1">
        <w:rPr>
          <w:rFonts w:ascii="Arial" w:eastAsia="Calibri" w:hAnsi="Arial"/>
          <w:color w:val="000000" w:themeColor="text1"/>
          <w:lang w:val="de-DE"/>
        </w:rPr>
        <w:t>gearSHAPING</w:t>
      </w:r>
      <w:proofErr w:type="spellEnd"/>
      <w:r w:rsidR="00885C83" w:rsidRPr="0E3CAAA1">
        <w:rPr>
          <w:rFonts w:ascii="Arial" w:eastAsia="Calibri" w:hAnsi="Arial"/>
          <w:color w:val="000000" w:themeColor="text1"/>
          <w:lang w:val="de-DE"/>
        </w:rPr>
        <w:t xml:space="preserve"> und </w:t>
      </w:r>
      <w:proofErr w:type="spellStart"/>
      <w:r w:rsidR="00885C83" w:rsidRPr="0E3CAAA1">
        <w:rPr>
          <w:rFonts w:ascii="Arial" w:eastAsia="Calibri" w:hAnsi="Arial"/>
          <w:color w:val="000000" w:themeColor="text1"/>
          <w:lang w:val="de-DE"/>
        </w:rPr>
        <w:t>gearBROACHING</w:t>
      </w:r>
      <w:proofErr w:type="spellEnd"/>
      <w:r w:rsidR="00885C83" w:rsidRPr="0E3CAAA1">
        <w:rPr>
          <w:rFonts w:ascii="Arial" w:eastAsia="Calibri" w:hAnsi="Arial"/>
          <w:color w:val="000000" w:themeColor="text1"/>
          <w:lang w:val="de-DE"/>
        </w:rPr>
        <w:t xml:space="preserve"> tragen wesentlich dazu bei, dass </w:t>
      </w:r>
      <w:r w:rsidRPr="00DE2AAA">
        <w:rPr>
          <w:lang w:val="de-DE"/>
        </w:rPr>
        <w:br/>
      </w:r>
      <w:r w:rsidR="00885C83" w:rsidRPr="0E3CAAA1">
        <w:rPr>
          <w:rFonts w:ascii="Arial" w:eastAsia="Calibri" w:hAnsi="Arial"/>
          <w:color w:val="000000" w:themeColor="text1"/>
          <w:lang w:val="de-DE"/>
        </w:rPr>
        <w:t>DMG MORI die Prozessintegration konsequent vorantreiben kann.</w:t>
      </w:r>
    </w:p>
    <w:p w14:paraId="18D36AF4" w14:textId="3EB1BCD6" w:rsidR="00194AEB" w:rsidRPr="004C7193" w:rsidRDefault="00683936" w:rsidP="00194AEB">
      <w:pPr>
        <w:spacing w:before="240" w:after="120" w:line="276" w:lineRule="auto"/>
        <w:jc w:val="both"/>
        <w:rPr>
          <w:rFonts w:ascii="Arial" w:eastAsia="Calibri" w:hAnsi="Arial"/>
          <w:b/>
          <w:color w:val="000000" w:themeColor="text1"/>
          <w:lang w:val="de-DE"/>
        </w:rPr>
      </w:pPr>
      <w:proofErr w:type="spellStart"/>
      <w:r>
        <w:rPr>
          <w:rFonts w:ascii="Arial" w:eastAsia="Calibri" w:hAnsi="Arial"/>
          <w:b/>
          <w:color w:val="000000" w:themeColor="text1"/>
          <w:lang w:val="de-DE"/>
        </w:rPr>
        <w:t>g</w:t>
      </w:r>
      <w:r w:rsidR="003B771E">
        <w:rPr>
          <w:rFonts w:ascii="Arial" w:eastAsia="Calibri" w:hAnsi="Arial"/>
          <w:b/>
          <w:color w:val="000000" w:themeColor="text1"/>
          <w:lang w:val="de-DE"/>
        </w:rPr>
        <w:t>unD</w:t>
      </w:r>
      <w:r w:rsidR="001C6F68">
        <w:rPr>
          <w:rFonts w:ascii="Arial" w:eastAsia="Calibri" w:hAnsi="Arial"/>
          <w:b/>
          <w:color w:val="000000" w:themeColor="text1"/>
          <w:lang w:val="de-DE"/>
        </w:rPr>
        <w:t>RILLING</w:t>
      </w:r>
      <w:proofErr w:type="spellEnd"/>
      <w:r w:rsidR="003B771E">
        <w:rPr>
          <w:rFonts w:ascii="Arial" w:eastAsia="Calibri" w:hAnsi="Arial"/>
          <w:b/>
          <w:color w:val="000000" w:themeColor="text1"/>
          <w:lang w:val="de-DE"/>
        </w:rPr>
        <w:t>: Tieflochbohren dank Technologiezyklus</w:t>
      </w:r>
    </w:p>
    <w:p w14:paraId="6C192ABD" w14:textId="1B0F785E" w:rsidR="00C52667" w:rsidRPr="00C52667" w:rsidRDefault="00C52667" w:rsidP="7E29CD57">
      <w:pPr>
        <w:spacing w:after="120" w:line="276" w:lineRule="auto"/>
        <w:jc w:val="both"/>
        <w:rPr>
          <w:rFonts w:ascii="Arial" w:eastAsia="Calibri" w:hAnsi="Arial"/>
          <w:color w:val="000000" w:themeColor="text1"/>
          <w:lang w:val="de-DE"/>
        </w:rPr>
      </w:pPr>
      <w:r w:rsidRPr="0B50D4B9">
        <w:rPr>
          <w:rFonts w:ascii="Arial" w:eastAsia="Calibri" w:hAnsi="Arial"/>
          <w:color w:val="000000" w:themeColor="text1"/>
          <w:lang w:val="de-DE"/>
        </w:rPr>
        <w:t>Der Fertigungssektor steht unter ständig wachsenden Anforderungen an Toleranzgenauigkeit, Durchlaufzeiten und Wirtschaftlichkeit. Gerade in den Schlüsselbranchen Werkzeug- und Formenbau</w:t>
      </w:r>
      <w:r w:rsidR="12D16CF0" w:rsidRPr="0B50D4B9">
        <w:rPr>
          <w:rFonts w:ascii="Arial" w:eastAsia="Calibri" w:hAnsi="Arial"/>
          <w:color w:val="000000" w:themeColor="text1"/>
          <w:lang w:val="de-DE"/>
        </w:rPr>
        <w:t xml:space="preserve"> (Die &amp; </w:t>
      </w:r>
      <w:proofErr w:type="spellStart"/>
      <w:r w:rsidR="12D16CF0" w:rsidRPr="0B50D4B9">
        <w:rPr>
          <w:rFonts w:ascii="Arial" w:eastAsia="Calibri" w:hAnsi="Arial"/>
          <w:color w:val="000000" w:themeColor="text1"/>
          <w:lang w:val="de-DE"/>
        </w:rPr>
        <w:t>Mold</w:t>
      </w:r>
      <w:proofErr w:type="spellEnd"/>
      <w:r w:rsidR="12D16CF0" w:rsidRPr="0B50D4B9">
        <w:rPr>
          <w:rFonts w:ascii="Arial" w:eastAsia="Calibri" w:hAnsi="Arial"/>
          <w:color w:val="000000" w:themeColor="text1"/>
          <w:lang w:val="de-DE"/>
        </w:rPr>
        <w:t>)</w:t>
      </w:r>
      <w:r w:rsidRPr="0B50D4B9">
        <w:rPr>
          <w:rFonts w:ascii="Arial" w:eastAsia="Calibri" w:hAnsi="Arial"/>
          <w:color w:val="000000" w:themeColor="text1"/>
          <w:lang w:val="de-DE"/>
        </w:rPr>
        <w:t>, Aviation</w:t>
      </w:r>
      <w:r w:rsidR="7237F270" w:rsidRPr="0B50D4B9">
        <w:rPr>
          <w:rFonts w:ascii="Arial" w:eastAsia="Calibri" w:hAnsi="Arial"/>
          <w:color w:val="000000" w:themeColor="text1"/>
          <w:lang w:val="de-DE"/>
        </w:rPr>
        <w:t xml:space="preserve"> and Space</w:t>
      </w:r>
      <w:r w:rsidRPr="0B50D4B9">
        <w:rPr>
          <w:rFonts w:ascii="Arial" w:eastAsia="Calibri" w:hAnsi="Arial"/>
          <w:color w:val="000000" w:themeColor="text1"/>
          <w:lang w:val="de-DE"/>
        </w:rPr>
        <w:t xml:space="preserve"> und Semiconductor nimmt das Tieflochbohren eine strategische Rolle ein. Herkömmliche Prozesse stoßen jedoch durch Werkzeugbr</w:t>
      </w:r>
      <w:r w:rsidR="00854CE7">
        <w:rPr>
          <w:rFonts w:ascii="Arial" w:eastAsia="Calibri" w:hAnsi="Arial"/>
          <w:color w:val="000000" w:themeColor="text1"/>
          <w:lang w:val="de-DE"/>
        </w:rPr>
        <w:t>uch</w:t>
      </w:r>
      <w:r w:rsidRPr="0B50D4B9">
        <w:rPr>
          <w:rFonts w:ascii="Arial" w:eastAsia="Calibri" w:hAnsi="Arial"/>
          <w:color w:val="000000" w:themeColor="text1"/>
          <w:lang w:val="de-DE"/>
        </w:rPr>
        <w:t xml:space="preserve">, extremen Werkzeugverschleiß, aufwändige Programmierung, hohen Kühlmittelverbrauch und hohe </w:t>
      </w:r>
      <w:proofErr w:type="gramStart"/>
      <w:r w:rsidRPr="0B50D4B9">
        <w:rPr>
          <w:rFonts w:ascii="Arial" w:eastAsia="Calibri" w:hAnsi="Arial"/>
          <w:color w:val="000000" w:themeColor="text1"/>
          <w:lang w:val="de-DE"/>
        </w:rPr>
        <w:t>Dr</w:t>
      </w:r>
      <w:r w:rsidR="00DE115A">
        <w:rPr>
          <w:rFonts w:ascii="Arial" w:eastAsia="Calibri" w:hAnsi="Arial"/>
          <w:color w:val="000000" w:themeColor="text1"/>
          <w:lang w:val="de-DE"/>
        </w:rPr>
        <w:t>ü</w:t>
      </w:r>
      <w:r w:rsidR="00854CE7">
        <w:rPr>
          <w:rFonts w:ascii="Arial" w:eastAsia="Calibri" w:hAnsi="Arial"/>
          <w:color w:val="000000" w:themeColor="text1"/>
          <w:lang w:val="de-DE"/>
        </w:rPr>
        <w:t>ck</w:t>
      </w:r>
      <w:r w:rsidR="00DE115A">
        <w:rPr>
          <w:rFonts w:ascii="Arial" w:eastAsia="Calibri" w:hAnsi="Arial"/>
          <w:color w:val="000000" w:themeColor="text1"/>
          <w:lang w:val="de-DE"/>
        </w:rPr>
        <w:t>e</w:t>
      </w:r>
      <w:proofErr w:type="gramEnd"/>
      <w:r w:rsidRPr="0B50D4B9">
        <w:rPr>
          <w:rFonts w:ascii="Arial" w:eastAsia="Calibri" w:hAnsi="Arial"/>
          <w:color w:val="000000" w:themeColor="text1"/>
          <w:lang w:val="de-DE"/>
        </w:rPr>
        <w:t xml:space="preserve"> der internen Kühlmittelzufuhr (IKZ) an Grenzen. DMG MORI versteht diese Herausforderungen aus erster Hand und bietet mit dem neuen </w:t>
      </w:r>
      <w:proofErr w:type="spellStart"/>
      <w:r w:rsidRPr="0B50D4B9">
        <w:rPr>
          <w:rFonts w:ascii="Arial" w:eastAsia="Calibri" w:hAnsi="Arial"/>
          <w:color w:val="000000" w:themeColor="text1"/>
          <w:lang w:val="de-DE"/>
        </w:rPr>
        <w:t>gunDRILLING</w:t>
      </w:r>
      <w:proofErr w:type="spellEnd"/>
      <w:r w:rsidRPr="0B50D4B9">
        <w:rPr>
          <w:rFonts w:ascii="Arial" w:eastAsia="Calibri" w:hAnsi="Arial"/>
          <w:color w:val="000000" w:themeColor="text1"/>
          <w:lang w:val="de-DE"/>
        </w:rPr>
        <w:t xml:space="preserve"> Technologiezyklus eine durchgängig anwenderorientierte Antwort. Durch die permanente Überwachung und automatische Justierung des Kühlmitteldurchfluss (Adaptive </w:t>
      </w:r>
      <w:proofErr w:type="spellStart"/>
      <w:r w:rsidRPr="0B50D4B9">
        <w:rPr>
          <w:rFonts w:ascii="Arial" w:eastAsia="Calibri" w:hAnsi="Arial"/>
          <w:color w:val="000000" w:themeColor="text1"/>
          <w:lang w:val="de-DE"/>
        </w:rPr>
        <w:t>Coolant</w:t>
      </w:r>
      <w:proofErr w:type="spellEnd"/>
      <w:r w:rsidRPr="0B50D4B9">
        <w:rPr>
          <w:rFonts w:ascii="Arial" w:eastAsia="Calibri" w:hAnsi="Arial"/>
          <w:color w:val="000000" w:themeColor="text1"/>
          <w:lang w:val="de-DE"/>
        </w:rPr>
        <w:t xml:space="preserve"> Flow, ACF) und des Vorschubs gewährleistet das System eine außergewöhnlich stabile Tieflochbohrung auch in schwer zu bearbeitenden Materialien.</w:t>
      </w:r>
    </w:p>
    <w:p w14:paraId="6BF9CC80" w14:textId="2B2B6AD6" w:rsidR="3B74647A" w:rsidRPr="008B1F98" w:rsidRDefault="3B74647A" w:rsidP="7E29CD57">
      <w:pPr>
        <w:spacing w:after="120" w:line="276" w:lineRule="auto"/>
        <w:jc w:val="both"/>
        <w:rPr>
          <w:rFonts w:ascii="Arial" w:eastAsia="Calibri" w:hAnsi="Arial"/>
          <w:b/>
          <w:bCs/>
          <w:color w:val="000000" w:themeColor="text1"/>
          <w:lang w:val="de-DE"/>
        </w:rPr>
      </w:pPr>
      <w:r w:rsidRPr="008B1F98">
        <w:rPr>
          <w:rFonts w:ascii="Arial" w:eastAsia="Calibri" w:hAnsi="Arial"/>
          <w:b/>
          <w:bCs/>
          <w:color w:val="000000" w:themeColor="text1"/>
          <w:lang w:val="de-DE"/>
        </w:rPr>
        <w:t xml:space="preserve">Adaptive </w:t>
      </w:r>
      <w:proofErr w:type="spellStart"/>
      <w:r w:rsidRPr="008B1F98">
        <w:rPr>
          <w:rFonts w:ascii="Arial" w:eastAsia="Calibri" w:hAnsi="Arial"/>
          <w:b/>
          <w:bCs/>
          <w:color w:val="000000" w:themeColor="text1"/>
          <w:lang w:val="de-DE"/>
        </w:rPr>
        <w:t>Coolant</w:t>
      </w:r>
      <w:proofErr w:type="spellEnd"/>
      <w:r w:rsidRPr="008B1F98">
        <w:rPr>
          <w:rFonts w:ascii="Arial" w:eastAsia="Calibri" w:hAnsi="Arial"/>
          <w:b/>
          <w:bCs/>
          <w:color w:val="000000" w:themeColor="text1"/>
          <w:lang w:val="de-DE"/>
        </w:rPr>
        <w:t xml:space="preserve"> Flow-System</w:t>
      </w:r>
      <w:r w:rsidR="5F609F9B" w:rsidRPr="008B1F98">
        <w:rPr>
          <w:rFonts w:ascii="Arial" w:eastAsia="Calibri" w:hAnsi="Arial"/>
          <w:b/>
          <w:bCs/>
          <w:color w:val="000000" w:themeColor="text1"/>
          <w:lang w:val="de-DE"/>
        </w:rPr>
        <w:t>: Überwachung und Anpassung der Kühlmittelzufuhr</w:t>
      </w:r>
    </w:p>
    <w:p w14:paraId="3808F353" w14:textId="2EE6447F" w:rsidR="00185C75" w:rsidRDefault="00C52667" w:rsidP="23143784">
      <w:pPr>
        <w:spacing w:after="120" w:line="276" w:lineRule="auto"/>
        <w:jc w:val="both"/>
        <w:rPr>
          <w:rFonts w:ascii="Arial" w:eastAsia="Calibri" w:hAnsi="Arial"/>
          <w:color w:val="000000" w:themeColor="text1"/>
          <w:lang w:val="de-DE"/>
        </w:rPr>
      </w:pPr>
      <w:r w:rsidRPr="0B50D4B9">
        <w:rPr>
          <w:rFonts w:ascii="Arial" w:eastAsia="Calibri" w:hAnsi="Arial"/>
          <w:color w:val="000000" w:themeColor="text1"/>
          <w:lang w:val="de-DE"/>
        </w:rPr>
        <w:t xml:space="preserve">Eine der Schlüsselinnovationen ist das Adaptive </w:t>
      </w:r>
      <w:proofErr w:type="spellStart"/>
      <w:r w:rsidRPr="0B50D4B9">
        <w:rPr>
          <w:rFonts w:ascii="Arial" w:eastAsia="Calibri" w:hAnsi="Arial"/>
          <w:color w:val="000000" w:themeColor="text1"/>
          <w:lang w:val="de-DE"/>
        </w:rPr>
        <w:t>Coolant</w:t>
      </w:r>
      <w:proofErr w:type="spellEnd"/>
      <w:r w:rsidRPr="0B50D4B9">
        <w:rPr>
          <w:rFonts w:ascii="Arial" w:eastAsia="Calibri" w:hAnsi="Arial"/>
          <w:color w:val="000000" w:themeColor="text1"/>
          <w:lang w:val="de-DE"/>
        </w:rPr>
        <w:t xml:space="preserve"> Flow-System, das den Durchfluss der internen Kühlmittelzufuhr kontinuierlich überwacht und automatisch anpasst. D</w:t>
      </w:r>
      <w:r w:rsidR="00185C75">
        <w:rPr>
          <w:rFonts w:ascii="Arial" w:eastAsia="Calibri" w:hAnsi="Arial"/>
          <w:color w:val="000000" w:themeColor="text1"/>
          <w:lang w:val="de-DE"/>
        </w:rPr>
        <w:t>ie</w:t>
      </w:r>
      <w:r w:rsidRPr="0B50D4B9">
        <w:rPr>
          <w:rFonts w:ascii="Arial" w:eastAsia="Calibri" w:hAnsi="Arial"/>
          <w:color w:val="000000" w:themeColor="text1"/>
          <w:lang w:val="de-DE"/>
        </w:rPr>
        <w:t xml:space="preserve"> Dr</w:t>
      </w:r>
      <w:r w:rsidR="00185C75">
        <w:rPr>
          <w:rFonts w:ascii="Arial" w:eastAsia="Calibri" w:hAnsi="Arial"/>
          <w:color w:val="000000" w:themeColor="text1"/>
          <w:lang w:val="de-DE"/>
        </w:rPr>
        <w:t>ü</w:t>
      </w:r>
      <w:r w:rsidRPr="0B50D4B9">
        <w:rPr>
          <w:rFonts w:ascii="Arial" w:eastAsia="Calibri" w:hAnsi="Arial"/>
          <w:color w:val="000000" w:themeColor="text1"/>
          <w:lang w:val="de-DE"/>
        </w:rPr>
        <w:t>ck</w:t>
      </w:r>
      <w:r w:rsidR="00185C75">
        <w:rPr>
          <w:rFonts w:ascii="Arial" w:eastAsia="Calibri" w:hAnsi="Arial"/>
          <w:color w:val="000000" w:themeColor="text1"/>
          <w:lang w:val="de-DE"/>
        </w:rPr>
        <w:t>e</w:t>
      </w:r>
      <w:r w:rsidRPr="0B50D4B9">
        <w:rPr>
          <w:rFonts w:ascii="Arial" w:eastAsia="Calibri" w:hAnsi="Arial"/>
          <w:color w:val="000000" w:themeColor="text1"/>
          <w:lang w:val="de-DE"/>
        </w:rPr>
        <w:t xml:space="preserve"> </w:t>
      </w:r>
      <w:r w:rsidR="00BD5777">
        <w:rPr>
          <w:rFonts w:ascii="Arial" w:eastAsia="Calibri" w:hAnsi="Arial"/>
          <w:color w:val="000000" w:themeColor="text1"/>
          <w:lang w:val="de-DE"/>
        </w:rPr>
        <w:t>w</w:t>
      </w:r>
      <w:r w:rsidR="00185C75">
        <w:rPr>
          <w:rFonts w:ascii="Arial" w:eastAsia="Calibri" w:hAnsi="Arial"/>
          <w:color w:val="000000" w:themeColor="text1"/>
          <w:lang w:val="de-DE"/>
        </w:rPr>
        <w:t>erden</w:t>
      </w:r>
      <w:r w:rsidRPr="0B50D4B9">
        <w:rPr>
          <w:rFonts w:ascii="Arial" w:eastAsia="Calibri" w:hAnsi="Arial"/>
          <w:color w:val="000000" w:themeColor="text1"/>
          <w:lang w:val="de-DE"/>
        </w:rPr>
        <w:t xml:space="preserve"> dadurch auf maximal 40 bar reduziert. So wird Überhitzung gezielt verhindert und das Risiko eines Werkzeugbruchs erheblich reduziert. Ergänzend dazu sorgt die automatische Vorschubanpassung dafür, dass bei Überschreiten definierter Grenzwerte der Prozess entsprechend des</w:t>
      </w:r>
      <w:r w:rsidR="6BAB5FB5" w:rsidRPr="0B50D4B9">
        <w:rPr>
          <w:rFonts w:ascii="Arial" w:eastAsia="Calibri" w:hAnsi="Arial"/>
          <w:color w:val="000000" w:themeColor="text1"/>
          <w:lang w:val="de-DE"/>
        </w:rPr>
        <w:t xml:space="preserve"> </w:t>
      </w:r>
      <w:r w:rsidRPr="0B50D4B9">
        <w:rPr>
          <w:rFonts w:ascii="Arial" w:eastAsia="Calibri" w:hAnsi="Arial"/>
          <w:color w:val="000000" w:themeColor="text1"/>
          <w:lang w:val="de-DE"/>
        </w:rPr>
        <w:t xml:space="preserve">Durchflusses innerhalb der Grenzen ebenfalls permanent angepasst wird. Diese Regelung geschieht kontinuierlich, wodurch sowohl die Werkzeugstandzeit als auch die Maschinenverfügbarkeit maximiert werden. Die Technologie punktet auch beim Thema Nachhaltigkeit: Ergebnisse zeigen, dass zum einen der Energieverbrauch deutlich sinkt und zum anderen auf teure Spezialflüssigkeiten verzichtet werden kann. So reicht in vielen Fällen eine Standardlösung in Kombination mit einer 80 bar Kühlmittelanlage vollkommen aus.  Auch die Integration in bestehende Fertigungsprozesse gestaltet sich dank automatisierter Parametrierung besonders intuitiv. Der Programmieraufwand sinkt erheblich. Gleiches gilt für potenzielle Fehlerquellen. Nicht zuletzt überzeugt der </w:t>
      </w:r>
      <w:proofErr w:type="spellStart"/>
      <w:r w:rsidRPr="0B50D4B9">
        <w:rPr>
          <w:rFonts w:ascii="Arial" w:eastAsia="Calibri" w:hAnsi="Arial"/>
          <w:color w:val="000000" w:themeColor="text1"/>
          <w:lang w:val="de-DE"/>
        </w:rPr>
        <w:t>gunDRILLING</w:t>
      </w:r>
      <w:proofErr w:type="spellEnd"/>
      <w:r w:rsidRPr="0B50D4B9">
        <w:rPr>
          <w:rFonts w:ascii="Arial" w:eastAsia="Calibri" w:hAnsi="Arial"/>
          <w:color w:val="000000" w:themeColor="text1"/>
          <w:lang w:val="de-DE"/>
        </w:rPr>
        <w:t xml:space="preserve"> Technologiezyklus durch </w:t>
      </w:r>
    </w:p>
    <w:p w14:paraId="68B6489B" w14:textId="03498F3E" w:rsidR="00194AEB" w:rsidRDefault="00C52667" w:rsidP="23143784">
      <w:pPr>
        <w:spacing w:after="120" w:line="276" w:lineRule="auto"/>
        <w:jc w:val="both"/>
        <w:rPr>
          <w:rFonts w:ascii="Arial" w:eastAsia="Calibri" w:hAnsi="Arial"/>
          <w:color w:val="000000" w:themeColor="text1"/>
          <w:lang w:val="de-DE"/>
        </w:rPr>
      </w:pPr>
      <w:r w:rsidRPr="0B50D4B9">
        <w:rPr>
          <w:rFonts w:ascii="Arial" w:eastAsia="Calibri" w:hAnsi="Arial"/>
          <w:color w:val="000000" w:themeColor="text1"/>
          <w:lang w:val="de-DE"/>
        </w:rPr>
        <w:lastRenderedPageBreak/>
        <w:t>seine Vielseitigkeit: Ob Kleinserie oder Großserie – die Lösung eignet sich ideal für unterschiedlichste Anwendungen, insbesondere in Branchen mit höchsten Anforderungen an Präzision und Prozesssicherheit.</w:t>
      </w:r>
    </w:p>
    <w:p w14:paraId="47E3D646" w14:textId="1B582726" w:rsidR="003B771E" w:rsidRPr="004C7193" w:rsidRDefault="007A4ABF" w:rsidP="003B771E">
      <w:pPr>
        <w:spacing w:before="240" w:after="120" w:line="276" w:lineRule="auto"/>
        <w:jc w:val="both"/>
        <w:rPr>
          <w:rFonts w:ascii="Arial" w:eastAsia="Calibri" w:hAnsi="Arial"/>
          <w:b/>
          <w:color w:val="000000" w:themeColor="text1"/>
          <w:lang w:val="de-DE"/>
        </w:rPr>
      </w:pPr>
      <w:proofErr w:type="spellStart"/>
      <w:r>
        <w:rPr>
          <w:rFonts w:ascii="Arial" w:eastAsia="Calibri" w:hAnsi="Arial"/>
          <w:b/>
          <w:color w:val="000000" w:themeColor="text1"/>
          <w:lang w:val="de-DE"/>
        </w:rPr>
        <w:t>gearDEBURRING</w:t>
      </w:r>
      <w:proofErr w:type="spellEnd"/>
      <w:r>
        <w:rPr>
          <w:rFonts w:ascii="Arial" w:eastAsia="Calibri" w:hAnsi="Arial"/>
          <w:b/>
          <w:color w:val="000000" w:themeColor="text1"/>
          <w:lang w:val="de-DE"/>
        </w:rPr>
        <w:t>:</w:t>
      </w:r>
      <w:r w:rsidR="003B771E">
        <w:rPr>
          <w:rFonts w:ascii="Arial" w:eastAsia="Calibri" w:hAnsi="Arial"/>
          <w:b/>
          <w:color w:val="000000" w:themeColor="text1"/>
          <w:lang w:val="de-DE"/>
        </w:rPr>
        <w:t xml:space="preserve"> </w:t>
      </w:r>
      <w:r w:rsidR="00B3264C">
        <w:rPr>
          <w:rFonts w:ascii="Arial" w:eastAsia="Calibri" w:hAnsi="Arial"/>
          <w:b/>
          <w:color w:val="000000" w:themeColor="text1"/>
          <w:lang w:val="de-DE"/>
        </w:rPr>
        <w:t>Definiertes Entgraten von Verzahnungen</w:t>
      </w:r>
    </w:p>
    <w:p w14:paraId="0AA0296E" w14:textId="4C222DEB" w:rsidR="003B771E" w:rsidRDefault="00B3264C" w:rsidP="0B50D4B9">
      <w:pPr>
        <w:spacing w:after="120" w:line="276" w:lineRule="auto"/>
        <w:jc w:val="both"/>
        <w:rPr>
          <w:rFonts w:ascii="Arial" w:eastAsia="Calibri" w:hAnsi="Arial"/>
          <w:lang w:val="de-DE"/>
        </w:rPr>
      </w:pPr>
      <w:r w:rsidRPr="0B50D4B9">
        <w:rPr>
          <w:rFonts w:ascii="Arial" w:eastAsia="Calibri" w:hAnsi="Arial"/>
          <w:lang w:val="de-DE"/>
        </w:rPr>
        <w:t xml:space="preserve">Das Entgraten von Verzahnungen ist ein wichtiger Prozessschritt, den DMG MORI mit dem Technologiezyklus </w:t>
      </w:r>
      <w:proofErr w:type="spellStart"/>
      <w:r w:rsidRPr="0B50D4B9">
        <w:rPr>
          <w:rFonts w:ascii="Arial" w:eastAsia="Calibri" w:hAnsi="Arial"/>
          <w:lang w:val="de-DE"/>
        </w:rPr>
        <w:t>gearDEBURRING</w:t>
      </w:r>
      <w:proofErr w:type="spellEnd"/>
      <w:r w:rsidRPr="0B50D4B9">
        <w:rPr>
          <w:rFonts w:ascii="Arial" w:eastAsia="Calibri" w:hAnsi="Arial"/>
          <w:lang w:val="de-DE"/>
        </w:rPr>
        <w:t xml:space="preserve"> erheblich vereinfacht. Er unterstützt die Programmierung des Arbeitsschritts sowohl bei gerad</w:t>
      </w:r>
      <w:r w:rsidR="0004419D">
        <w:rPr>
          <w:rFonts w:ascii="Arial" w:eastAsia="Calibri" w:hAnsi="Arial"/>
          <w:lang w:val="de-DE"/>
        </w:rPr>
        <w:t>verzahnten</w:t>
      </w:r>
      <w:r w:rsidRPr="0B50D4B9">
        <w:rPr>
          <w:rFonts w:ascii="Arial" w:eastAsia="Calibri" w:hAnsi="Arial"/>
          <w:lang w:val="de-DE"/>
        </w:rPr>
        <w:t xml:space="preserve"> als auch bei schrägverzahnten Bauteilen – auch im Fall von Innenverzahnungen. Es müssen lediglich die</w:t>
      </w:r>
      <w:r w:rsidR="00D540BA" w:rsidRPr="0B50D4B9">
        <w:rPr>
          <w:rFonts w:ascii="Arial" w:eastAsia="Calibri" w:hAnsi="Arial"/>
          <w:lang w:val="de-DE"/>
        </w:rPr>
        <w:t xml:space="preserve"> Parameter der</w:t>
      </w:r>
      <w:r w:rsidRPr="0B50D4B9">
        <w:rPr>
          <w:rFonts w:ascii="Arial" w:eastAsia="Calibri" w:hAnsi="Arial"/>
          <w:lang w:val="de-DE"/>
        </w:rPr>
        <w:t xml:space="preserve"> Verzahnung, das </w:t>
      </w:r>
      <w:proofErr w:type="spellStart"/>
      <w:r w:rsidRPr="0B50D4B9">
        <w:rPr>
          <w:rFonts w:ascii="Arial" w:eastAsia="Calibri" w:hAnsi="Arial"/>
          <w:lang w:val="de-DE"/>
        </w:rPr>
        <w:t>Entgratwerkzeug</w:t>
      </w:r>
      <w:proofErr w:type="spellEnd"/>
      <w:r w:rsidRPr="0B50D4B9">
        <w:rPr>
          <w:rFonts w:ascii="Arial" w:eastAsia="Calibri" w:hAnsi="Arial"/>
          <w:lang w:val="de-DE"/>
        </w:rPr>
        <w:t xml:space="preserve"> und die Bearbeitungsstrategie </w:t>
      </w:r>
      <w:r w:rsidR="00D540BA" w:rsidRPr="0B50D4B9">
        <w:rPr>
          <w:rFonts w:ascii="Arial" w:eastAsia="Calibri" w:hAnsi="Arial"/>
          <w:lang w:val="de-DE"/>
        </w:rPr>
        <w:t xml:space="preserve">in der Bedienungsmaske </w:t>
      </w:r>
      <w:r w:rsidRPr="0B50D4B9">
        <w:rPr>
          <w:rFonts w:ascii="Arial" w:eastAsia="Calibri" w:hAnsi="Arial"/>
          <w:lang w:val="de-DE"/>
        </w:rPr>
        <w:t xml:space="preserve">definiert werden. Abhängig von der Werkzeuggeometrie nutzt der Technologiezyklus die B-Achse, um Fasen flexibel </w:t>
      </w:r>
      <w:r w:rsidR="00D540BA" w:rsidRPr="0B50D4B9">
        <w:rPr>
          <w:rFonts w:ascii="Arial" w:eastAsia="Calibri" w:hAnsi="Arial"/>
          <w:lang w:val="de-DE"/>
        </w:rPr>
        <w:t>anzubringen</w:t>
      </w:r>
      <w:r w:rsidRPr="0B50D4B9">
        <w:rPr>
          <w:rFonts w:ascii="Arial" w:eastAsia="Calibri" w:hAnsi="Arial"/>
          <w:lang w:val="de-DE"/>
        </w:rPr>
        <w:t>. Der Prozess erfolgt mit hoher Geschwindigkeit in bis zu 20 Sekunden. Ein Mehrwert besteht darüber hinaus i</w:t>
      </w:r>
      <w:r w:rsidR="00D540BA" w:rsidRPr="0B50D4B9">
        <w:rPr>
          <w:rFonts w:ascii="Arial" w:eastAsia="Calibri" w:hAnsi="Arial"/>
          <w:lang w:val="de-DE"/>
        </w:rPr>
        <w:t>m kosteneffizienten Werkzeugeinsatz</w:t>
      </w:r>
      <w:r w:rsidRPr="0B50D4B9">
        <w:rPr>
          <w:rFonts w:ascii="Arial" w:eastAsia="Calibri" w:hAnsi="Arial"/>
          <w:lang w:val="de-DE"/>
        </w:rPr>
        <w:t>.</w:t>
      </w:r>
    </w:p>
    <w:p w14:paraId="18676C71" w14:textId="77777777" w:rsidR="00B3264C" w:rsidRPr="004C7193" w:rsidRDefault="00B3264C" w:rsidP="00B3264C">
      <w:pPr>
        <w:spacing w:before="240" w:after="120" w:line="276" w:lineRule="auto"/>
        <w:jc w:val="both"/>
        <w:rPr>
          <w:rFonts w:ascii="Arial" w:eastAsia="Calibri" w:hAnsi="Arial"/>
          <w:b/>
          <w:color w:val="000000" w:themeColor="text1"/>
          <w:lang w:val="de-DE"/>
        </w:rPr>
      </w:pPr>
      <w:proofErr w:type="spellStart"/>
      <w:r>
        <w:rPr>
          <w:rFonts w:ascii="Arial" w:eastAsia="Calibri" w:hAnsi="Arial"/>
          <w:b/>
          <w:color w:val="000000" w:themeColor="text1"/>
          <w:lang w:val="de-DE"/>
        </w:rPr>
        <w:t>Machining</w:t>
      </w:r>
      <w:proofErr w:type="spellEnd"/>
      <w:r>
        <w:rPr>
          <w:rFonts w:ascii="Arial" w:eastAsia="Calibri" w:hAnsi="Arial"/>
          <w:b/>
          <w:color w:val="000000" w:themeColor="text1"/>
          <w:lang w:val="de-DE"/>
        </w:rPr>
        <w:t xml:space="preserve"> Transformation (MX) durch Technologiezyklen </w:t>
      </w:r>
    </w:p>
    <w:p w14:paraId="52B7EC8A" w14:textId="335A35CE" w:rsidR="00B3264C" w:rsidRDefault="00B3264C" w:rsidP="00B3264C">
      <w:pPr>
        <w:spacing w:after="120" w:line="276" w:lineRule="auto"/>
        <w:jc w:val="both"/>
        <w:rPr>
          <w:rFonts w:ascii="Arial" w:eastAsia="Calibri" w:hAnsi="Arial"/>
          <w:bCs/>
          <w:color w:val="000000" w:themeColor="text1"/>
          <w:lang w:val="de-DE"/>
        </w:rPr>
      </w:pPr>
      <w:r>
        <w:rPr>
          <w:rFonts w:ascii="Arial" w:eastAsia="Calibri" w:hAnsi="Arial"/>
          <w:bCs/>
          <w:color w:val="000000" w:themeColor="text1"/>
          <w:lang w:val="de-DE"/>
        </w:rPr>
        <w:t xml:space="preserve">Der Einsatz dieser und anderer hochspezialisierter Technologiezyklen ist ein wichtiges Element im Rahmen der </w:t>
      </w:r>
      <w:proofErr w:type="spellStart"/>
      <w:r>
        <w:rPr>
          <w:rFonts w:ascii="Arial" w:eastAsia="Calibri" w:hAnsi="Arial"/>
          <w:bCs/>
          <w:color w:val="000000" w:themeColor="text1"/>
          <w:lang w:val="de-DE"/>
        </w:rPr>
        <w:t>Machining</w:t>
      </w:r>
      <w:proofErr w:type="spellEnd"/>
      <w:r>
        <w:rPr>
          <w:rFonts w:ascii="Arial" w:eastAsia="Calibri" w:hAnsi="Arial"/>
          <w:bCs/>
          <w:color w:val="000000" w:themeColor="text1"/>
          <w:lang w:val="de-DE"/>
        </w:rPr>
        <w:t xml:space="preserve"> Transformation (MX), mit der DMG MORI den Weg in die Zukunft der Fertigung ebnet. Sie reduzieren Programmierzeiten und integrieren zusätzliche Prozesse im Arbeitsraum der Maschine, was wiederum ganze Durchlaufzeiten senkt. D</w:t>
      </w:r>
      <w:r w:rsidR="002572A0">
        <w:rPr>
          <w:rFonts w:ascii="Arial" w:eastAsia="Calibri" w:hAnsi="Arial"/>
          <w:bCs/>
          <w:color w:val="000000" w:themeColor="text1"/>
          <w:lang w:val="de-DE"/>
        </w:rPr>
        <w:t xml:space="preserve">ieser Ansatz hat sich bereits in vielen Anwendungen bewährt. Mit Technologiezyklen </w:t>
      </w:r>
      <w:r w:rsidR="002572A0">
        <w:rPr>
          <w:rFonts w:ascii="Arial" w:eastAsia="Calibri" w:hAnsi="Arial"/>
          <w:bCs/>
          <w:color w:val="000000"/>
          <w:lang w:val="de-DE"/>
        </w:rPr>
        <w:t xml:space="preserve">wie Grinding, </w:t>
      </w:r>
      <w:proofErr w:type="spellStart"/>
      <w:r w:rsidR="002572A0">
        <w:rPr>
          <w:rFonts w:ascii="Arial" w:eastAsia="Calibri" w:hAnsi="Arial"/>
          <w:bCs/>
          <w:color w:val="000000"/>
          <w:lang w:val="de-DE"/>
        </w:rPr>
        <w:t>gearSHAPING</w:t>
      </w:r>
      <w:proofErr w:type="spellEnd"/>
      <w:r w:rsidR="002572A0">
        <w:rPr>
          <w:rFonts w:ascii="Arial" w:eastAsia="Calibri" w:hAnsi="Arial"/>
          <w:bCs/>
          <w:color w:val="000000"/>
          <w:lang w:val="de-DE"/>
        </w:rPr>
        <w:t xml:space="preserve"> und </w:t>
      </w:r>
      <w:proofErr w:type="spellStart"/>
      <w:r w:rsidR="002572A0">
        <w:rPr>
          <w:rFonts w:ascii="Arial" w:eastAsia="Calibri" w:hAnsi="Arial"/>
          <w:bCs/>
          <w:color w:val="000000"/>
          <w:lang w:val="de-DE"/>
        </w:rPr>
        <w:t>gearBROACHING</w:t>
      </w:r>
      <w:proofErr w:type="spellEnd"/>
      <w:r w:rsidR="002572A0">
        <w:rPr>
          <w:rFonts w:ascii="Arial" w:eastAsia="Calibri" w:hAnsi="Arial"/>
          <w:bCs/>
          <w:color w:val="000000"/>
          <w:lang w:val="de-DE"/>
        </w:rPr>
        <w:t xml:space="preserve"> zeigt DMG MORI seit vielen Jahren, dass dieser Ansatz </w:t>
      </w:r>
      <w:r>
        <w:rPr>
          <w:rFonts w:ascii="Arial" w:eastAsia="Calibri" w:hAnsi="Arial"/>
          <w:bCs/>
          <w:color w:val="000000" w:themeColor="text1"/>
          <w:lang w:val="de-DE"/>
        </w:rPr>
        <w:t>effizientere Prozesse</w:t>
      </w:r>
      <w:r w:rsidR="002572A0">
        <w:rPr>
          <w:rFonts w:ascii="Arial" w:eastAsia="Calibri" w:hAnsi="Arial"/>
          <w:bCs/>
          <w:color w:val="000000" w:themeColor="text1"/>
          <w:lang w:val="de-DE"/>
        </w:rPr>
        <w:t xml:space="preserve"> gewährleistet. Die Integration zusätzlicher Arbeitsschritte in eine Aufspannung ist die perfekte Alternative zur herkömmlichen Bearbeitung auf mehreren Maschinen und realisiert</w:t>
      </w:r>
      <w:r>
        <w:rPr>
          <w:rFonts w:ascii="Arial" w:eastAsia="Calibri" w:hAnsi="Arial"/>
          <w:bCs/>
          <w:color w:val="000000" w:themeColor="text1"/>
          <w:lang w:val="de-DE"/>
        </w:rPr>
        <w:t xml:space="preserve"> eine wirtschaftlichere und wettbewerbsfähigere Produktion.</w:t>
      </w:r>
    </w:p>
    <w:p w14:paraId="347CC2EE" w14:textId="77777777" w:rsidR="003F4725" w:rsidRDefault="003F4725" w:rsidP="00B3264C">
      <w:pPr>
        <w:spacing w:after="120" w:line="276" w:lineRule="auto"/>
        <w:jc w:val="both"/>
        <w:rPr>
          <w:rFonts w:ascii="Arial" w:eastAsia="Calibri" w:hAnsi="Arial"/>
          <w:bCs/>
          <w:color w:val="000000" w:themeColor="text1"/>
          <w:lang w:val="de-DE"/>
        </w:rPr>
      </w:pPr>
    </w:p>
    <w:p w14:paraId="3CC3F590" w14:textId="44B05D2B" w:rsidR="003F4725" w:rsidRDefault="003F4725">
      <w:pPr>
        <w:spacing w:after="0" w:line="240" w:lineRule="auto"/>
        <w:rPr>
          <w:rFonts w:ascii="Arial" w:eastAsia="Calibri" w:hAnsi="Arial"/>
          <w:bCs/>
          <w:color w:val="000000" w:themeColor="text1"/>
          <w:lang w:val="de-DE"/>
        </w:rPr>
      </w:pPr>
      <w:r>
        <w:rPr>
          <w:rFonts w:ascii="Arial" w:eastAsia="Calibri" w:hAnsi="Arial"/>
          <w:bCs/>
          <w:color w:val="000000" w:themeColor="text1"/>
          <w:lang w:val="de-DE"/>
        </w:rPr>
        <w:br w:type="page"/>
      </w:r>
    </w:p>
    <w:p w14:paraId="4A2FD11B" w14:textId="3D6B19B7" w:rsidR="00D67734" w:rsidRPr="00410979" w:rsidRDefault="00402D45" w:rsidP="00410979">
      <w:pPr>
        <w:autoSpaceDE w:val="0"/>
        <w:autoSpaceDN w:val="0"/>
        <w:adjustRightInd w:val="0"/>
        <w:spacing w:after="40" w:line="288" w:lineRule="auto"/>
        <w:ind w:right="-7"/>
        <w:jc w:val="both"/>
        <w:rPr>
          <w:rFonts w:ascii="Arial" w:eastAsia="MS Mincho" w:hAnsi="Arial"/>
          <w:b/>
          <w:color w:val="000000"/>
          <w:sz w:val="16"/>
          <w:szCs w:val="18"/>
          <w:lang w:val="de-DE"/>
        </w:rPr>
      </w:pPr>
      <w:r w:rsidRPr="00402D45">
        <w:rPr>
          <w:rFonts w:ascii="Arial" w:eastAsia="MS Mincho" w:hAnsi="Arial"/>
          <w:b/>
          <w:noProof/>
          <w:color w:val="000000"/>
          <w:sz w:val="16"/>
          <w:szCs w:val="18"/>
          <w:lang w:val="de-DE"/>
        </w:rPr>
        <w:lastRenderedPageBreak/>
        <w:drawing>
          <wp:inline distT="0" distB="0" distL="0" distR="0" wp14:anchorId="50C65C0D" wp14:editId="329F112D">
            <wp:extent cx="4813401" cy="3382433"/>
            <wp:effectExtent l="0" t="0" r="6350" b="8890"/>
            <wp:docPr id="165094709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0947099" name=""/>
                    <pic:cNvPicPr/>
                  </pic:nvPicPr>
                  <pic:blipFill>
                    <a:blip r:embed="rId10"/>
                    <a:stretch>
                      <a:fillRect/>
                    </a:stretch>
                  </pic:blipFill>
                  <pic:spPr>
                    <a:xfrm>
                      <a:off x="0" y="0"/>
                      <a:ext cx="4827697" cy="3392479"/>
                    </a:xfrm>
                    <a:prstGeom prst="rect">
                      <a:avLst/>
                    </a:prstGeom>
                  </pic:spPr>
                </pic:pic>
              </a:graphicData>
            </a:graphic>
          </wp:inline>
        </w:drawing>
      </w:r>
    </w:p>
    <w:p w14:paraId="4BFBC504" w14:textId="0FD02EAF" w:rsidR="002247C5" w:rsidRPr="0004419D" w:rsidRDefault="002247C5" w:rsidP="003F4725">
      <w:pPr>
        <w:autoSpaceDE w:val="0"/>
        <w:autoSpaceDN w:val="0"/>
        <w:adjustRightInd w:val="0"/>
        <w:spacing w:after="40" w:line="288" w:lineRule="auto"/>
        <w:ind w:right="1417"/>
        <w:rPr>
          <w:rFonts w:ascii="Arial" w:eastAsia="MS Mincho" w:hAnsi="Arial"/>
          <w:bCs/>
          <w:color w:val="000000"/>
          <w:sz w:val="16"/>
          <w:szCs w:val="18"/>
          <w:lang w:val="de-DE"/>
        </w:rPr>
      </w:pPr>
      <w:r w:rsidRPr="0004419D">
        <w:rPr>
          <w:rFonts w:ascii="Arial" w:eastAsia="MS Mincho" w:hAnsi="Arial"/>
          <w:bCs/>
          <w:color w:val="000000"/>
          <w:sz w:val="16"/>
          <w:szCs w:val="18"/>
          <w:lang w:val="de-DE"/>
        </w:rPr>
        <w:t xml:space="preserve">Technologiezyklen wie Grinding, </w:t>
      </w:r>
      <w:proofErr w:type="spellStart"/>
      <w:r w:rsidRPr="0004419D">
        <w:rPr>
          <w:rFonts w:ascii="Arial" w:eastAsia="MS Mincho" w:hAnsi="Arial"/>
          <w:bCs/>
          <w:color w:val="000000"/>
          <w:sz w:val="16"/>
          <w:szCs w:val="18"/>
          <w:lang w:val="de-DE"/>
        </w:rPr>
        <w:t>gearSHAPING</w:t>
      </w:r>
      <w:proofErr w:type="spellEnd"/>
      <w:r w:rsidRPr="0004419D">
        <w:rPr>
          <w:rFonts w:ascii="Arial" w:eastAsia="MS Mincho" w:hAnsi="Arial"/>
          <w:bCs/>
          <w:color w:val="000000"/>
          <w:sz w:val="16"/>
          <w:szCs w:val="18"/>
          <w:lang w:val="de-DE"/>
        </w:rPr>
        <w:t xml:space="preserve"> und </w:t>
      </w:r>
      <w:proofErr w:type="spellStart"/>
      <w:r w:rsidRPr="0004419D">
        <w:rPr>
          <w:rFonts w:ascii="Arial" w:eastAsia="MS Mincho" w:hAnsi="Arial"/>
          <w:bCs/>
          <w:color w:val="000000"/>
          <w:sz w:val="16"/>
          <w:szCs w:val="18"/>
          <w:lang w:val="de-DE"/>
        </w:rPr>
        <w:t>gearBROACHING</w:t>
      </w:r>
      <w:proofErr w:type="spellEnd"/>
      <w:r w:rsidRPr="0004419D">
        <w:rPr>
          <w:rFonts w:ascii="Arial" w:eastAsia="MS Mincho" w:hAnsi="Arial"/>
          <w:bCs/>
          <w:color w:val="000000"/>
          <w:sz w:val="16"/>
          <w:szCs w:val="18"/>
          <w:lang w:val="de-DE"/>
        </w:rPr>
        <w:t xml:space="preserve"> tragen wesentlich dazu bei, dass DMG MORI die Prozessintegration konsequent vorantreiben kann.</w:t>
      </w:r>
    </w:p>
    <w:p w14:paraId="337D32DD" w14:textId="0FC6A15D" w:rsidR="002912CE" w:rsidRDefault="002912CE">
      <w:pPr>
        <w:spacing w:after="0" w:line="240" w:lineRule="auto"/>
        <w:rPr>
          <w:rFonts w:ascii="Arial" w:eastAsia="MS Mincho" w:hAnsi="Arial"/>
          <w:b/>
          <w:sz w:val="16"/>
          <w:szCs w:val="18"/>
          <w:lang w:val="de-DE"/>
        </w:rPr>
      </w:pPr>
    </w:p>
    <w:p w14:paraId="44207158" w14:textId="76298FC3" w:rsidR="001906A8" w:rsidRPr="00410979" w:rsidRDefault="001906A8" w:rsidP="00410979">
      <w:pPr>
        <w:autoSpaceDE w:val="0"/>
        <w:autoSpaceDN w:val="0"/>
        <w:adjustRightInd w:val="0"/>
        <w:spacing w:after="40" w:line="288" w:lineRule="auto"/>
        <w:ind w:right="1977"/>
        <w:jc w:val="both"/>
        <w:rPr>
          <w:rFonts w:ascii="Arial" w:eastAsia="MS Mincho" w:hAnsi="Arial"/>
          <w:b/>
          <w:sz w:val="16"/>
          <w:szCs w:val="18"/>
          <w:lang w:val="de-DE"/>
        </w:rPr>
      </w:pPr>
      <w:r w:rsidRPr="00410979">
        <w:rPr>
          <w:rFonts w:ascii="Arial" w:eastAsia="MS Mincho" w:hAnsi="Arial"/>
          <w:b/>
          <w:sz w:val="16"/>
          <w:szCs w:val="18"/>
          <w:lang w:val="de-DE"/>
        </w:rPr>
        <w:t xml:space="preserve">Company Profile // DMG MORI </w:t>
      </w:r>
    </w:p>
    <w:p w14:paraId="2BA92066" w14:textId="77777777" w:rsidR="001906A8" w:rsidRPr="00410979" w:rsidRDefault="001906A8" w:rsidP="00410979">
      <w:pPr>
        <w:spacing w:after="40" w:line="288" w:lineRule="auto"/>
        <w:ind w:right="1977"/>
        <w:jc w:val="both"/>
        <w:rPr>
          <w:rFonts w:ascii="Arial" w:eastAsia="MS Mincho" w:hAnsi="Arial"/>
          <w:bCs/>
          <w:noProof/>
          <w:sz w:val="16"/>
          <w:szCs w:val="18"/>
          <w:lang w:val="de-DE" w:eastAsia="de-DE"/>
        </w:rPr>
      </w:pPr>
      <w:r w:rsidRPr="00410979">
        <w:rPr>
          <w:rFonts w:ascii="Arial" w:eastAsia="MS Mincho" w:hAnsi="Arial"/>
          <w:bCs/>
          <w:noProof/>
          <w:sz w:val="16"/>
          <w:szCs w:val="18"/>
          <w:lang w:val="de-DE" w:eastAsia="de-DE"/>
        </w:rPr>
        <w:t>DMG MORI ist ein weltweit führender Hersteller von hochpräzisen Werkzeugmaschinen und in 4</w:t>
      </w:r>
      <w:r w:rsidR="00F57280" w:rsidRPr="00410979">
        <w:rPr>
          <w:rFonts w:ascii="Arial" w:eastAsia="MS Mincho" w:hAnsi="Arial"/>
          <w:bCs/>
          <w:noProof/>
          <w:sz w:val="16"/>
          <w:szCs w:val="18"/>
          <w:lang w:val="de-DE" w:eastAsia="de-DE"/>
        </w:rPr>
        <w:t>4</w:t>
      </w:r>
      <w:r w:rsidRPr="00410979">
        <w:rPr>
          <w:rFonts w:ascii="Arial" w:eastAsia="MS Mincho" w:hAnsi="Arial"/>
          <w:bCs/>
          <w:noProof/>
          <w:sz w:val="16"/>
          <w:szCs w:val="18"/>
          <w:lang w:val="de-DE" w:eastAsia="de-DE"/>
        </w:rPr>
        <w:t xml:space="preserve"> Ländern vertreten – mit </w:t>
      </w:r>
      <w:r w:rsidR="00F57280" w:rsidRPr="00410979">
        <w:rPr>
          <w:rFonts w:ascii="Arial" w:eastAsia="MS Mincho" w:hAnsi="Arial"/>
          <w:bCs/>
          <w:noProof/>
          <w:sz w:val="16"/>
          <w:szCs w:val="18"/>
          <w:lang w:val="de-DE" w:eastAsia="de-DE"/>
        </w:rPr>
        <w:t>124</w:t>
      </w:r>
      <w:r w:rsidRPr="00410979">
        <w:rPr>
          <w:rFonts w:ascii="Arial" w:eastAsia="MS Mincho" w:hAnsi="Arial"/>
          <w:bCs/>
          <w:noProof/>
          <w:sz w:val="16"/>
          <w:szCs w:val="18"/>
          <w:lang w:val="de-DE" w:eastAsia="de-DE"/>
        </w:rPr>
        <w:t xml:space="preserve"> Vertriebs- und Servicestandorten, davon 17 Produktionswerke. In der „Global One Company“ treiben mehr als 13.</w:t>
      </w:r>
      <w:r w:rsidR="00F57280" w:rsidRPr="00410979">
        <w:rPr>
          <w:rFonts w:ascii="Arial" w:eastAsia="MS Mincho" w:hAnsi="Arial"/>
          <w:bCs/>
          <w:noProof/>
          <w:sz w:val="16"/>
          <w:szCs w:val="18"/>
          <w:lang w:val="de-DE" w:eastAsia="de-DE"/>
        </w:rPr>
        <w:t>5</w:t>
      </w:r>
      <w:r w:rsidRPr="00410979">
        <w:rPr>
          <w:rFonts w:ascii="Arial" w:eastAsia="MS Mincho" w:hAnsi="Arial"/>
          <w:bCs/>
          <w:noProof/>
          <w:sz w:val="16"/>
          <w:szCs w:val="18"/>
          <w:lang w:val="de-DE" w:eastAsia="de-DE"/>
        </w:rPr>
        <w:t>00 Mitarbeiterinnen und Mitarbeiter die Entwicklung ganzheitlicher Lösungen im Fertigungsumfeld voran. Unter dem Leitbild Machining Transformation (MX) kombiniert DMG MORI vier Säulen für die effiziente und nachhaltige Produktion der Zukunft: Prozessintegration, Automation, Digitale Transformation (DX) und Grüne Transformation (GX).</w:t>
      </w:r>
    </w:p>
    <w:p w14:paraId="124CC452" w14:textId="77777777" w:rsidR="001906A8" w:rsidRPr="00410979" w:rsidRDefault="001906A8" w:rsidP="00410979">
      <w:pPr>
        <w:spacing w:after="40" w:line="288" w:lineRule="auto"/>
        <w:ind w:right="1977"/>
        <w:jc w:val="both"/>
        <w:rPr>
          <w:rFonts w:ascii="Arial" w:eastAsia="MS Mincho" w:hAnsi="Arial"/>
          <w:bCs/>
          <w:noProof/>
          <w:sz w:val="16"/>
          <w:szCs w:val="18"/>
          <w:lang w:val="de-DE" w:eastAsia="de-DE"/>
        </w:rPr>
      </w:pPr>
    </w:p>
    <w:p w14:paraId="26143A68" w14:textId="77777777" w:rsidR="001906A8" w:rsidRPr="00410979" w:rsidRDefault="001906A8" w:rsidP="00410979">
      <w:pPr>
        <w:spacing w:after="40" w:line="288" w:lineRule="auto"/>
        <w:ind w:right="1977"/>
        <w:jc w:val="both"/>
        <w:rPr>
          <w:rFonts w:ascii="Arial" w:eastAsia="MS Mincho" w:hAnsi="Arial"/>
          <w:bCs/>
          <w:noProof/>
          <w:sz w:val="16"/>
          <w:szCs w:val="18"/>
          <w:lang w:val="de-DE" w:eastAsia="de-DE"/>
        </w:rPr>
      </w:pPr>
      <w:r w:rsidRPr="00410979">
        <w:rPr>
          <w:rFonts w:ascii="Arial" w:eastAsia="MS Mincho" w:hAnsi="Arial"/>
          <w:bCs/>
          <w:noProof/>
          <w:sz w:val="16"/>
          <w:szCs w:val="18"/>
          <w:lang w:val="de-DE" w:eastAsia="de-DE"/>
        </w:rPr>
        <w:t>DMG MORI steht für Innovation, Qualität und Präzision. Unser Portfolio umfasst nachhaltige Fertigungs</w:t>
      </w:r>
      <w:r w:rsidRPr="00410979">
        <w:rPr>
          <w:rFonts w:ascii="Arial" w:eastAsia="MS Mincho" w:hAnsi="Arial"/>
          <w:bCs/>
          <w:noProof/>
          <w:sz w:val="16"/>
          <w:szCs w:val="18"/>
          <w:lang w:val="de-DE" w:eastAsia="de-DE"/>
        </w:rPr>
        <w:softHyphen/>
        <w:t>lösungen auf Basis der Technologien Drehen, Fräsen, Schleifen, Bohren sowie Ultrasonic, Lasertec und Additive Manufacturing. Mit Technologieintegration, durchgängigen Automations- und Digitalisierungs</w:t>
      </w:r>
      <w:r w:rsidRPr="00410979">
        <w:rPr>
          <w:rFonts w:ascii="Arial" w:eastAsia="MS Mincho" w:hAnsi="Arial"/>
          <w:bCs/>
          <w:noProof/>
          <w:sz w:val="16"/>
          <w:szCs w:val="18"/>
          <w:lang w:val="de-DE" w:eastAsia="de-DE"/>
        </w:rPr>
        <w:softHyphen/>
        <w:t>lösungen ermöglichen wir, die Produktivität und gleichzeitig die Ressourceneffizienz zu steigern.</w:t>
      </w:r>
    </w:p>
    <w:p w14:paraId="71117F98" w14:textId="77777777" w:rsidR="001906A8" w:rsidRPr="00410979" w:rsidRDefault="001906A8" w:rsidP="00410979">
      <w:pPr>
        <w:spacing w:after="40" w:line="288" w:lineRule="auto"/>
        <w:ind w:right="1977"/>
        <w:jc w:val="both"/>
        <w:rPr>
          <w:rFonts w:ascii="Arial" w:eastAsia="MS Mincho" w:hAnsi="Arial"/>
          <w:bCs/>
          <w:noProof/>
          <w:sz w:val="16"/>
          <w:szCs w:val="18"/>
          <w:lang w:val="de-DE" w:eastAsia="de-DE"/>
        </w:rPr>
      </w:pPr>
    </w:p>
    <w:p w14:paraId="4758E5ED" w14:textId="77777777" w:rsidR="001906A8" w:rsidRPr="00410979" w:rsidRDefault="00ED0252" w:rsidP="00410979">
      <w:pPr>
        <w:spacing w:after="40" w:line="288" w:lineRule="auto"/>
        <w:ind w:right="1977"/>
        <w:jc w:val="both"/>
        <w:rPr>
          <w:rFonts w:ascii="Arial" w:eastAsia="MS Mincho" w:hAnsi="Arial"/>
          <w:bCs/>
          <w:noProof/>
          <w:sz w:val="16"/>
          <w:szCs w:val="18"/>
          <w:lang w:val="de-DE" w:eastAsia="de-DE"/>
        </w:rPr>
      </w:pPr>
      <w:r w:rsidRPr="00410979">
        <w:rPr>
          <w:rFonts w:ascii="Arial" w:eastAsia="MS Mincho" w:hAnsi="Arial"/>
          <w:bCs/>
          <w:noProof/>
          <w:sz w:val="16"/>
          <w:szCs w:val="18"/>
          <w:lang w:val="de-DE" w:eastAsia="de-DE"/>
        </w:rPr>
        <w:t xml:space="preserve">An unseren Produktionsstandorten realisieren wir für die Leitbranchen Aviation &amp; Space, Automotive &amp; E-Mobility, Die &amp; Mold, Medical und Semiconductor ganzheitliche Turnkey-Lösungen. </w:t>
      </w:r>
      <w:r w:rsidR="001906A8" w:rsidRPr="00410979">
        <w:rPr>
          <w:rFonts w:ascii="Arial" w:eastAsia="MS Mincho" w:hAnsi="Arial"/>
          <w:bCs/>
          <w:noProof/>
          <w:sz w:val="16"/>
          <w:szCs w:val="18"/>
          <w:lang w:val="de-DE" w:eastAsia="de-DE"/>
        </w:rPr>
        <w:t>Mit dem Partnerprogramm DMG MORI Qualified Products (DMQP) bieten wir perfekt abgestimmte Peripherie-Produkte aus einer Hand. Unsere kundenorientierten Services begleiten den gesamten Lebenszyklus einer Werkzeugmaschine – inklusive Training, Instandsetzung, Wartung und Ersatzteilservice.</w:t>
      </w:r>
    </w:p>
    <w:p w14:paraId="38798ABE" w14:textId="77777777" w:rsidR="001906A8" w:rsidRPr="00410979" w:rsidRDefault="001906A8" w:rsidP="00410979">
      <w:pPr>
        <w:spacing w:after="40" w:line="288" w:lineRule="auto"/>
        <w:ind w:right="1977"/>
        <w:jc w:val="both"/>
        <w:rPr>
          <w:rFonts w:ascii="Arial" w:eastAsia="MS Mincho" w:hAnsi="Arial"/>
          <w:bCs/>
          <w:noProof/>
          <w:sz w:val="16"/>
          <w:szCs w:val="18"/>
          <w:lang w:val="de-DE" w:eastAsia="de-DE"/>
        </w:rPr>
      </w:pPr>
    </w:p>
    <w:p w14:paraId="29CC661A" w14:textId="77777777" w:rsidR="001906A8" w:rsidRPr="00410979" w:rsidRDefault="001906A8" w:rsidP="00410979">
      <w:pPr>
        <w:spacing w:after="40" w:line="288" w:lineRule="auto"/>
        <w:ind w:right="1977"/>
        <w:jc w:val="both"/>
        <w:rPr>
          <w:rFonts w:ascii="Arial" w:eastAsia="MS Mincho" w:hAnsi="Arial"/>
          <w:bCs/>
          <w:noProof/>
          <w:sz w:val="16"/>
          <w:szCs w:val="18"/>
          <w:lang w:val="de-DE" w:eastAsia="de-DE"/>
        </w:rPr>
      </w:pPr>
    </w:p>
    <w:p w14:paraId="299E7E06" w14:textId="4F8464D3" w:rsidR="00410979" w:rsidRPr="00C16FE7" w:rsidRDefault="00C16FE7" w:rsidP="00C16FE7">
      <w:pPr>
        <w:spacing w:after="40" w:line="288" w:lineRule="auto"/>
        <w:ind w:right="1977"/>
        <w:rPr>
          <w:rFonts w:ascii="Arial" w:hAnsi="Arial"/>
          <w:i/>
          <w:sz w:val="16"/>
          <w:szCs w:val="16"/>
        </w:rPr>
      </w:pPr>
      <w:r w:rsidRPr="00C16FE7">
        <w:rPr>
          <w:rFonts w:ascii="Arial" w:hAnsi="Arial"/>
          <w:i/>
          <w:sz w:val="16"/>
          <w:szCs w:val="16"/>
        </w:rPr>
        <w:t xml:space="preserve">DMG MORI EMEA Holding GmbH </w:t>
      </w:r>
      <w:r w:rsidRPr="00C16FE7">
        <w:rPr>
          <w:rFonts w:ascii="Arial" w:hAnsi="Arial"/>
          <w:i/>
          <w:iCs/>
          <w:sz w:val="16"/>
          <w:szCs w:val="16"/>
        </w:rPr>
        <w:t>| Walter-Gropius-Str. 7 | 80807 München</w:t>
      </w:r>
      <w:r w:rsidRPr="00C16FE7">
        <w:rPr>
          <w:rFonts w:ascii="Arial" w:hAnsi="Arial"/>
          <w:i/>
          <w:sz w:val="16"/>
          <w:szCs w:val="16"/>
        </w:rPr>
        <w:br/>
      </w:r>
      <w:proofErr w:type="spellStart"/>
      <w:r w:rsidRPr="00C16FE7">
        <w:rPr>
          <w:rFonts w:ascii="Arial" w:hAnsi="Arial"/>
          <w:i/>
          <w:sz w:val="16"/>
          <w:szCs w:val="16"/>
        </w:rPr>
        <w:t>Geschäftsführer</w:t>
      </w:r>
      <w:proofErr w:type="spellEnd"/>
      <w:r w:rsidRPr="00C16FE7">
        <w:rPr>
          <w:rFonts w:ascii="Arial" w:hAnsi="Arial"/>
          <w:i/>
          <w:sz w:val="16"/>
          <w:szCs w:val="16"/>
        </w:rPr>
        <w:t xml:space="preserve">: </w:t>
      </w:r>
      <w:proofErr w:type="spellStart"/>
      <w:r w:rsidRPr="00C16FE7">
        <w:rPr>
          <w:rFonts w:ascii="Arial" w:hAnsi="Arial"/>
          <w:i/>
          <w:sz w:val="16"/>
          <w:szCs w:val="16"/>
        </w:rPr>
        <w:t>Hirotake</w:t>
      </w:r>
      <w:proofErr w:type="spellEnd"/>
      <w:r w:rsidRPr="00C16FE7">
        <w:rPr>
          <w:rFonts w:ascii="Arial" w:hAnsi="Arial"/>
          <w:i/>
          <w:sz w:val="16"/>
          <w:szCs w:val="16"/>
        </w:rPr>
        <w:t xml:space="preserve"> Kobayashi, James Nudo, Irene Bader, Rajeev Anand, Ralf Riedemann, Yosuke Nakatsukasa, Marc Joost</w:t>
      </w:r>
      <w:r w:rsidRPr="00C16FE7">
        <w:rPr>
          <w:rFonts w:ascii="Arial" w:hAnsi="Arial"/>
          <w:i/>
          <w:sz w:val="16"/>
          <w:szCs w:val="16"/>
        </w:rPr>
        <w:br/>
        <w:t>Telefonnummer: +49 89248835900</w:t>
      </w:r>
      <w:r w:rsidRPr="00C16FE7">
        <w:rPr>
          <w:rFonts w:ascii="Arial" w:hAnsi="Arial"/>
          <w:i/>
          <w:sz w:val="16"/>
          <w:szCs w:val="16"/>
        </w:rPr>
        <w:br/>
      </w:r>
      <w:proofErr w:type="spellStart"/>
      <w:r w:rsidRPr="00C16FE7">
        <w:rPr>
          <w:rFonts w:ascii="Arial" w:hAnsi="Arial"/>
          <w:i/>
          <w:sz w:val="16"/>
          <w:szCs w:val="16"/>
        </w:rPr>
        <w:t>Datenschutz</w:t>
      </w:r>
      <w:proofErr w:type="spellEnd"/>
      <w:r w:rsidRPr="00C16FE7">
        <w:rPr>
          <w:rFonts w:ascii="Arial" w:hAnsi="Arial"/>
          <w:i/>
          <w:sz w:val="16"/>
          <w:szCs w:val="16"/>
        </w:rPr>
        <w:t>: DMG MORI EMEA Holding GmbH</w:t>
      </w:r>
    </w:p>
    <w:sectPr w:rsidR="00410979" w:rsidRPr="00C16FE7" w:rsidSect="00410979">
      <w:headerReference w:type="even" r:id="rId11"/>
      <w:headerReference w:type="default" r:id="rId12"/>
      <w:footerReference w:type="even" r:id="rId13"/>
      <w:footerReference w:type="default" r:id="rId14"/>
      <w:headerReference w:type="first" r:id="rId15"/>
      <w:footerReference w:type="first" r:id="rId16"/>
      <w:pgSz w:w="11906" w:h="16838"/>
      <w:pgMar w:top="3237" w:right="1417" w:bottom="1316"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DF2AC22" w14:textId="77777777" w:rsidR="002E3A19" w:rsidRDefault="002E3A19" w:rsidP="003F4354">
      <w:pPr>
        <w:spacing w:after="0" w:line="240" w:lineRule="auto"/>
      </w:pPr>
      <w:r>
        <w:separator/>
      </w:r>
    </w:p>
  </w:endnote>
  <w:endnote w:type="continuationSeparator" w:id="0">
    <w:p w14:paraId="0122F967" w14:textId="77777777" w:rsidR="002E3A19" w:rsidRDefault="002E3A19" w:rsidP="003F43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mpatilFactLTPro-Rg">
    <w:altName w:val="Cambria"/>
    <w:panose1 w:val="00000000000000000000"/>
    <w:charset w:val="4D"/>
    <w:family w:val="swiss"/>
    <w:notTrueType/>
    <w:pitch w:val="variable"/>
    <w:sig w:usb0="00000003" w:usb1="00000000" w:usb2="00000000" w:usb3="00000000" w:csb0="00000093" w:csb1="00000000"/>
  </w:font>
  <w:font w:name="Aptos">
    <w:charset w:val="00"/>
    <w:family w:val="swiss"/>
    <w:pitch w:val="variable"/>
    <w:sig w:usb0="20000287" w:usb1="00000003" w:usb2="00000000" w:usb3="00000000" w:csb0="0000019F" w:csb1="00000000"/>
  </w:font>
  <w:font w:name="Compatil Fact LT Pro">
    <w:altName w:val="Cambria"/>
    <w:panose1 w:val="00000000000000000000"/>
    <w:charset w:val="00"/>
    <w:family w:val="modern"/>
    <w:notTrueType/>
    <w:pitch w:val="variable"/>
    <w:sig w:usb0="800000AF" w:usb1="5000204A" w:usb2="00000000" w:usb3="00000000" w:csb0="0000009B"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ptos Display">
    <w:charset w:val="00"/>
    <w:family w:val="swiss"/>
    <w:pitch w:val="variable"/>
    <w:sig w:usb0="20000287" w:usb1="00000003" w:usb2="00000000" w:usb3="00000000" w:csb0="0000019F" w:csb1="00000000"/>
  </w:font>
  <w:font w:name="MinionPro-Regular">
    <w:altName w:val="Calibri"/>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ompatilFactLTPro-Bd">
    <w:altName w:val="Calibri"/>
    <w:charset w:val="4D"/>
    <w:family w:val="swiss"/>
    <w:pitch w:val="variable"/>
    <w:sig w:usb0="00000003" w:usb1="00000000" w:usb2="00000000" w:usb3="00000000" w:csb0="00000093" w:csb1="00000000"/>
  </w:font>
  <w:font w:name="Arial Fett">
    <w:altName w:val="Arial"/>
    <w:panose1 w:val="020B07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F71F3C" w14:textId="77777777" w:rsidR="00CA23D7" w:rsidRDefault="00CA23D7">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62A59A" w14:textId="77777777" w:rsidR="00200FC3" w:rsidRPr="006D2256" w:rsidRDefault="001476F8" w:rsidP="00200FC3">
    <w:pPr>
      <w:pStyle w:val="Fuzeile"/>
      <w:tabs>
        <w:tab w:val="left" w:pos="2370"/>
      </w:tabs>
      <w:jc w:val="center"/>
      <w:rPr>
        <w:sz w:val="18"/>
        <w:szCs w:val="18"/>
      </w:rPr>
    </w:pPr>
    <w:r>
      <w:rPr>
        <w:noProof/>
      </w:rPr>
      <mc:AlternateContent>
        <mc:Choice Requires="wps">
          <w:drawing>
            <wp:anchor distT="4294967293" distB="4294967293" distL="114300" distR="114300" simplePos="0" relativeHeight="251658246" behindDoc="0" locked="0" layoutInCell="1" allowOverlap="1" wp14:anchorId="714BD127" wp14:editId="04A3B796">
              <wp:simplePos x="0" y="0"/>
              <wp:positionH relativeFrom="margin">
                <wp:posOffset>0</wp:posOffset>
              </wp:positionH>
              <wp:positionV relativeFrom="paragraph">
                <wp:posOffset>-133986</wp:posOffset>
              </wp:positionV>
              <wp:extent cx="6083935" cy="0"/>
              <wp:effectExtent l="0" t="0" r="0" b="0"/>
              <wp:wrapNone/>
              <wp:docPr id="483830015" name="Gerade Verbindung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083935" cy="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w14:anchorId="6E8696E6">
            <v:line id="Gerade Verbindung 3" style="position:absolute;flip:y;z-index:251664384;visibility:visible;mso-wrap-style:square;mso-width-percent:0;mso-height-percent:0;mso-wrap-distance-left:9pt;mso-wrap-distance-top:.ßmm;mso-wrap-distance-right:9pt;mso-wrap-distance-bottom:.ßmm;mso-position-horizontal:absolute;mso-position-horizontal-relative:margin;mso-position-vertical:absolute;mso-position-vertical-relative:text;mso-width-percent:0;mso-height-percent:0;mso-width-relative:margin;mso-height-relative:margin" o:spid="_x0000_s1026" strokecolor="windowText" strokeweight=".5pt" from="0,-10.55pt" to="479.05pt,-10.55pt" w14:anchorId="0FCC34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">
              <v:stroke joinstyle="miter"/>
              <o:lock v:ext="edit" shapetype="f"/>
              <w10:wrap anchorx="margin"/>
            </v:line>
          </w:pict>
        </mc:Fallback>
      </mc:AlternateContent>
    </w:r>
    <w:r w:rsidR="00200FC3" w:rsidRPr="006D2256">
      <w:rPr>
        <w:sz w:val="18"/>
        <w:szCs w:val="18"/>
      </w:rPr>
      <w:fldChar w:fldCharType="begin"/>
    </w:r>
    <w:r w:rsidR="00200FC3" w:rsidRPr="006D2256">
      <w:rPr>
        <w:sz w:val="18"/>
        <w:szCs w:val="18"/>
      </w:rPr>
      <w:instrText>PAGE   \* MERGEFORMAT</w:instrText>
    </w:r>
    <w:r w:rsidR="00200FC3" w:rsidRPr="006D2256">
      <w:rPr>
        <w:sz w:val="18"/>
        <w:szCs w:val="18"/>
      </w:rPr>
      <w:fldChar w:fldCharType="separate"/>
    </w:r>
    <w:r w:rsidR="00200FC3">
      <w:rPr>
        <w:sz w:val="18"/>
        <w:szCs w:val="18"/>
      </w:rPr>
      <w:t>1</w:t>
    </w:r>
    <w:r w:rsidR="00200FC3" w:rsidRPr="006D2256">
      <w:rPr>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191808" w14:textId="77777777" w:rsidR="00CA23D7" w:rsidRDefault="00CA23D7">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FC176EC" w14:textId="77777777" w:rsidR="002E3A19" w:rsidRDefault="002E3A19" w:rsidP="003F4354">
      <w:pPr>
        <w:spacing w:after="0" w:line="240" w:lineRule="auto"/>
      </w:pPr>
      <w:r>
        <w:separator/>
      </w:r>
    </w:p>
  </w:footnote>
  <w:footnote w:type="continuationSeparator" w:id="0">
    <w:p w14:paraId="6EDD70B4" w14:textId="77777777" w:rsidR="002E3A19" w:rsidRDefault="002E3A19" w:rsidP="003F43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7E64B0" w14:textId="77777777" w:rsidR="00CA23D7" w:rsidRDefault="00CA23D7">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BBE39E" w14:textId="77777777" w:rsidR="003F4354" w:rsidRPr="005D7159" w:rsidRDefault="001476F8" w:rsidP="003F4354">
    <w:pPr>
      <w:pStyle w:val="EinfAbs"/>
      <w:tabs>
        <w:tab w:val="left" w:pos="1590"/>
        <w:tab w:val="left" w:pos="3240"/>
        <w:tab w:val="left" w:pos="5895"/>
      </w:tabs>
      <w:spacing w:after="113"/>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pPr>
    <w:bookmarkStart w:id="0" w:name="_Hlk141089219"/>
    <w:bookmarkStart w:id="1" w:name="_Hlk141089220"/>
    <w:r>
      <w:rPr>
        <w:noProof/>
      </w:rPr>
      <w:drawing>
        <wp:anchor distT="0" distB="0" distL="114300" distR="114300" simplePos="0" relativeHeight="251658245" behindDoc="1" locked="0" layoutInCell="1" allowOverlap="1" wp14:anchorId="1BF13E61" wp14:editId="10F2D6F3">
          <wp:simplePos x="0" y="0"/>
          <wp:positionH relativeFrom="margin">
            <wp:align>left</wp:align>
          </wp:positionH>
          <wp:positionV relativeFrom="paragraph">
            <wp:posOffset>6985</wp:posOffset>
          </wp:positionV>
          <wp:extent cx="2641600" cy="281940"/>
          <wp:effectExtent l="0" t="0" r="0" b="0"/>
          <wp:wrapTight wrapText="bothSides">
            <wp:wrapPolygon edited="0">
              <wp:start x="0" y="0"/>
              <wp:lineTo x="0" y="20432"/>
              <wp:lineTo x="21496" y="20432"/>
              <wp:lineTo x="21496" y="0"/>
              <wp:lineTo x="0" y="0"/>
            </wp:wrapPolygon>
          </wp:wrapTight>
          <wp:docPr id="6" name="Picture 1218336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1833651"/>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41600" cy="2819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F4354">
      <w:rPr>
        <w:noProof/>
        <w:lang w:eastAsia="de-DE"/>
      </w:rPr>
      <w:t xml:space="preserve"> </w:t>
    </w:r>
    <w:r>
      <w:rPr>
        <w:noProof/>
      </w:rPr>
      <mc:AlternateContent>
        <mc:Choice Requires="wps">
          <w:drawing>
            <wp:anchor distT="0" distB="0" distL="114300" distR="114300" simplePos="0" relativeHeight="251658241" behindDoc="0" locked="0" layoutInCell="1" allowOverlap="1" wp14:anchorId="4F2CD53C" wp14:editId="05FD380A">
              <wp:simplePos x="0" y="0"/>
              <wp:positionH relativeFrom="margin">
                <wp:posOffset>3604260</wp:posOffset>
              </wp:positionH>
              <wp:positionV relativeFrom="paragraph">
                <wp:posOffset>35560</wp:posOffset>
              </wp:positionV>
              <wp:extent cx="2511425" cy="390525"/>
              <wp:effectExtent l="0" t="0" r="0" b="0"/>
              <wp:wrapNone/>
              <wp:docPr id="85052329" name="Textfeld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511425" cy="390525"/>
                      </a:xfrm>
                      <a:prstGeom prst="rect">
                        <a:avLst/>
                      </a:prstGeom>
                      <a:noFill/>
                      <a:ln w="6350">
                        <a:noFill/>
                      </a:ln>
                      <a:effectLst/>
                    </wps:spPr>
                    <wps:txbx>
                      <w:txbxContent>
                        <w:p w14:paraId="17C6B70F" w14:textId="0DE248F7" w:rsidR="003F4354" w:rsidRPr="00092E73" w:rsidRDefault="003F4354"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PressEMITTEILUNG</w:t>
                          </w:r>
                        </w:p>
                        <w:p w14:paraId="3D696B74" w14:textId="14BFFF43" w:rsidR="003F4354" w:rsidRPr="00092E73" w:rsidRDefault="00363954" w:rsidP="003F4354">
                          <w:pPr>
                            <w:pStyle w:val="EinfAbs"/>
                            <w:spacing w:line="276" w:lineRule="auto"/>
                            <w:jc w:val="right"/>
                            <w:rPr>
                              <w:rFonts w:ascii="Arial" w:hAnsi="Arial" w:cs="Arial"/>
                              <w:color w:val="4C4C4C"/>
                              <w:spacing w:val="1"/>
                              <w:sz w:val="16"/>
                              <w:szCs w:val="16"/>
                            </w:rPr>
                          </w:pPr>
                          <w:r>
                            <w:rPr>
                              <w:rFonts w:ascii="Arial" w:hAnsi="Arial" w:cs="Arial"/>
                              <w:color w:val="4C4C4C"/>
                              <w:spacing w:val="1"/>
                              <w:sz w:val="16"/>
                              <w:szCs w:val="16"/>
                            </w:rPr>
                            <w:t>22</w:t>
                          </w:r>
                          <w:r w:rsidR="003F4354">
                            <w:rPr>
                              <w:rFonts w:ascii="Arial" w:hAnsi="Arial" w:cs="Arial"/>
                              <w:color w:val="4C4C4C"/>
                              <w:spacing w:val="1"/>
                              <w:sz w:val="16"/>
                              <w:szCs w:val="16"/>
                            </w:rPr>
                            <w:t>.0</w:t>
                          </w:r>
                          <w:r>
                            <w:rPr>
                              <w:rFonts w:ascii="Arial" w:hAnsi="Arial" w:cs="Arial"/>
                              <w:color w:val="4C4C4C"/>
                              <w:spacing w:val="1"/>
                              <w:sz w:val="16"/>
                              <w:szCs w:val="16"/>
                            </w:rPr>
                            <w:t>9</w:t>
                          </w:r>
                          <w:r w:rsidR="003F4354">
                            <w:rPr>
                              <w:rFonts w:ascii="Arial" w:hAnsi="Arial" w:cs="Arial"/>
                              <w:color w:val="4C4C4C"/>
                              <w:spacing w:val="1"/>
                              <w:sz w:val="16"/>
                              <w:szCs w:val="16"/>
                            </w:rPr>
                            <w:t>.202</w:t>
                          </w:r>
                          <w:r w:rsidR="00410979">
                            <w:rPr>
                              <w:rFonts w:ascii="Arial" w:hAnsi="Arial" w:cs="Arial"/>
                              <w:color w:val="4C4C4C"/>
                              <w:spacing w:val="1"/>
                              <w:sz w:val="16"/>
                              <w:szCs w:val="16"/>
                            </w:rPr>
                            <w:t>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F2CD53C" id="_x0000_t202" coordsize="21600,21600" o:spt="202" path="m,l,21600r21600,l21600,xe">
              <v:stroke joinstyle="miter"/>
              <v:path gradientshapeok="t" o:connecttype="rect"/>
            </v:shapetype>
            <v:shape id="Textfeld 11" o:spid="_x0000_s1026" type="#_x0000_t202" style="position:absolute;margin-left:283.8pt;margin-top:2.8pt;width:197.75pt;height:30.75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" filled="f" stroked="f" strokeweight=".5pt">
              <v:textbox inset="0,0,0,0">
                <w:txbxContent>
                  <w:p w14:paraId="17C6B70F" w14:textId="0DE248F7" w:rsidR="003F4354" w:rsidRPr="00092E73" w:rsidRDefault="003F4354"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PressEMITTEILUNG</w:t>
                    </w:r>
                  </w:p>
                  <w:p w14:paraId="3D696B74" w14:textId="14BFFF43" w:rsidR="003F4354" w:rsidRPr="00092E73" w:rsidRDefault="00363954" w:rsidP="003F4354">
                    <w:pPr>
                      <w:pStyle w:val="EinfAbs"/>
                      <w:spacing w:line="276" w:lineRule="auto"/>
                      <w:jc w:val="right"/>
                      <w:rPr>
                        <w:rFonts w:ascii="Arial" w:hAnsi="Arial" w:cs="Arial"/>
                        <w:color w:val="4C4C4C"/>
                        <w:spacing w:val="1"/>
                        <w:sz w:val="16"/>
                        <w:szCs w:val="16"/>
                      </w:rPr>
                    </w:pPr>
                    <w:r>
                      <w:rPr>
                        <w:rFonts w:ascii="Arial" w:hAnsi="Arial" w:cs="Arial"/>
                        <w:color w:val="4C4C4C"/>
                        <w:spacing w:val="1"/>
                        <w:sz w:val="16"/>
                        <w:szCs w:val="16"/>
                      </w:rPr>
                      <w:t>22</w:t>
                    </w:r>
                    <w:r w:rsidR="003F4354">
                      <w:rPr>
                        <w:rFonts w:ascii="Arial" w:hAnsi="Arial" w:cs="Arial"/>
                        <w:color w:val="4C4C4C"/>
                        <w:spacing w:val="1"/>
                        <w:sz w:val="16"/>
                        <w:szCs w:val="16"/>
                      </w:rPr>
                      <w:t>.0</w:t>
                    </w:r>
                    <w:r>
                      <w:rPr>
                        <w:rFonts w:ascii="Arial" w:hAnsi="Arial" w:cs="Arial"/>
                        <w:color w:val="4C4C4C"/>
                        <w:spacing w:val="1"/>
                        <w:sz w:val="16"/>
                        <w:szCs w:val="16"/>
                      </w:rPr>
                      <w:t>9</w:t>
                    </w:r>
                    <w:r w:rsidR="003F4354">
                      <w:rPr>
                        <w:rFonts w:ascii="Arial" w:hAnsi="Arial" w:cs="Arial"/>
                        <w:color w:val="4C4C4C"/>
                        <w:spacing w:val="1"/>
                        <w:sz w:val="16"/>
                        <w:szCs w:val="16"/>
                      </w:rPr>
                      <w:t>.202</w:t>
                    </w:r>
                    <w:r w:rsidR="00410979">
                      <w:rPr>
                        <w:rFonts w:ascii="Arial" w:hAnsi="Arial" w:cs="Arial"/>
                        <w:color w:val="4C4C4C"/>
                        <w:spacing w:val="1"/>
                        <w:sz w:val="16"/>
                        <w:szCs w:val="16"/>
                      </w:rPr>
                      <w:t>5</w:t>
                    </w:r>
                  </w:p>
                </w:txbxContent>
              </v:textbox>
              <w10:wrap anchorx="margin"/>
            </v:shape>
          </w:pict>
        </mc:Fallback>
      </mc:AlternateContent>
    </w:r>
    <w:r>
      <w:rPr>
        <w:noProof/>
      </w:rPr>
      <w:drawing>
        <wp:anchor distT="0" distB="0" distL="114300" distR="114300" simplePos="0" relativeHeight="251658240" behindDoc="1" locked="0" layoutInCell="1" allowOverlap="1" wp14:anchorId="5E5B97EB" wp14:editId="7AE00CBA">
          <wp:simplePos x="0" y="0"/>
          <wp:positionH relativeFrom="column">
            <wp:posOffset>6955155</wp:posOffset>
          </wp:positionH>
          <wp:positionV relativeFrom="paragraph">
            <wp:posOffset>-51435</wp:posOffset>
          </wp:positionV>
          <wp:extent cx="7588885" cy="1441450"/>
          <wp:effectExtent l="0" t="0" r="0" b="0"/>
          <wp:wrapNone/>
          <wp:docPr id="4" name="Picture 1597604907" descr="Ein Bild, das Reihe, Screenshot enthält.&#10;&#10;Automatisch generierte Beschreibu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97604907" descr="Ein Bild, das Reihe, Screenshot enthält.&#10;&#10;Automatisch generierte Beschreibung"/>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88885" cy="14414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F4354" w:rsidRPr="005D7159">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003F4354" w:rsidRPr="005D7159">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003F4354" w:rsidRPr="005D7159">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p>
  <w:p w14:paraId="0617F7CC" w14:textId="77777777" w:rsidR="003F4354" w:rsidRDefault="003F4354" w:rsidP="003F4354">
    <w:pPr>
      <w:pStyle w:val="Kopfzeile"/>
      <w:tabs>
        <w:tab w:val="left" w:pos="3870"/>
        <w:tab w:val="left" w:pos="4350"/>
        <w:tab w:val="center" w:pos="4749"/>
        <w:tab w:val="left" w:pos="5895"/>
      </w:tabs>
    </w:pPr>
    <w:r>
      <w:tab/>
    </w:r>
    <w:r>
      <w:tab/>
    </w:r>
    <w:r>
      <w:tab/>
    </w:r>
    <w:r>
      <w:tab/>
    </w:r>
  </w:p>
  <w:p w14:paraId="608A06F4" w14:textId="77777777" w:rsidR="003F4354" w:rsidRDefault="003F4354" w:rsidP="003F4354">
    <w:pPr>
      <w:tabs>
        <w:tab w:val="left" w:pos="3375"/>
        <w:tab w:val="left" w:pos="4130"/>
        <w:tab w:val="left" w:pos="6210"/>
      </w:tabs>
    </w:pPr>
    <w:r>
      <w:tab/>
    </w:r>
    <w:r>
      <w:tab/>
    </w:r>
    <w:r>
      <w:tab/>
    </w:r>
  </w:p>
  <w:p w14:paraId="2A39A12C" w14:textId="77777777" w:rsidR="003F4354" w:rsidRPr="002C1A3D" w:rsidRDefault="001476F8" w:rsidP="003F4354">
    <w:pPr>
      <w:pStyle w:val="Kopfzeile"/>
    </w:pPr>
    <w:r>
      <w:rPr>
        <w:noProof/>
      </w:rPr>
      <mc:AlternateContent>
        <mc:Choice Requires="wps">
          <w:drawing>
            <wp:anchor distT="0" distB="0" distL="114300" distR="114300" simplePos="0" relativeHeight="251658244" behindDoc="0" locked="0" layoutInCell="1" allowOverlap="1" wp14:anchorId="00552D2A" wp14:editId="5EB265D2">
              <wp:simplePos x="0" y="0"/>
              <wp:positionH relativeFrom="margin">
                <wp:posOffset>2575560</wp:posOffset>
              </wp:positionH>
              <wp:positionV relativeFrom="paragraph">
                <wp:posOffset>342265</wp:posOffset>
              </wp:positionV>
              <wp:extent cx="2130425" cy="304800"/>
              <wp:effectExtent l="0" t="0" r="0" b="0"/>
              <wp:wrapNone/>
              <wp:docPr id="1559117938" name="Textfeld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30425" cy="304800"/>
                      </a:xfrm>
                      <a:prstGeom prst="rect">
                        <a:avLst/>
                      </a:prstGeom>
                      <a:noFill/>
                      <a:ln w="6350">
                        <a:noFill/>
                      </a:ln>
                      <a:effectLst/>
                    </wps:spPr>
                    <wps:txbx>
                      <w:txbxContent>
                        <w:p w14:paraId="51832E90" w14:textId="77777777" w:rsidR="003F4354" w:rsidRDefault="003F4354"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eva.manzenreiter</w:t>
                          </w:r>
                          <w:r w:rsidRPr="00466517">
                            <w:rPr>
                              <w:rFonts w:ascii="Arial" w:hAnsi="Arial" w:cs="Arial"/>
                              <w:color w:val="4C4C4C"/>
                              <w:position w:val="4"/>
                              <w:sz w:val="16"/>
                              <w:szCs w:val="16"/>
                            </w:rPr>
                            <w:t>@dmgmori.com</w:t>
                          </w:r>
                        </w:p>
                        <w:p w14:paraId="309E328A" w14:textId="77777777" w:rsidR="003F4354" w:rsidRPr="00092E73" w:rsidRDefault="003F4354" w:rsidP="003F4354">
                          <w:pPr>
                            <w:pStyle w:val="EinfAbs"/>
                            <w:spacing w:line="276" w:lineRule="auto"/>
                            <w:rPr>
                              <w:rFonts w:ascii="Arial" w:hAnsi="Arial" w:cs="Arial"/>
                              <w:color w:val="4C4C4C"/>
                              <w:position w:val="4"/>
                              <w:sz w:val="16"/>
                              <w:szCs w:val="16"/>
                            </w:rPr>
                          </w:pPr>
                          <w:hyperlink r:id="rId3" w:history="1">
                            <w:r w:rsidRPr="00DF2B1F">
                              <w:rPr>
                                <w:rStyle w:val="Hyperlink"/>
                                <w:rFonts w:ascii="Arial" w:hAnsi="Arial" w:cs="Arial"/>
                                <w:color w:val="595959"/>
                                <w:position w:val="2"/>
                                <w:sz w:val="16"/>
                                <w:szCs w:val="16"/>
                                <w:lang w:val="en-US"/>
                              </w:rPr>
                              <w:t>dmgmori.com</w:t>
                            </w:r>
                          </w:hyperlink>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552D2A" id="Textfeld 9" o:spid="_x0000_s1027" type="#_x0000_t202" style="position:absolute;margin-left:202.8pt;margin-top:26.95pt;width:167.75pt;height:24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" filled="f" stroked="f" strokeweight=".5pt">
              <v:textbox inset="0,0,0,0">
                <w:txbxContent>
                  <w:p w14:paraId="51832E90" w14:textId="77777777" w:rsidR="003F4354" w:rsidRDefault="003F4354"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eva.manzenreiter</w:t>
                    </w:r>
                    <w:r w:rsidRPr="00466517">
                      <w:rPr>
                        <w:rFonts w:ascii="Arial" w:hAnsi="Arial" w:cs="Arial"/>
                        <w:color w:val="4C4C4C"/>
                        <w:position w:val="4"/>
                        <w:sz w:val="16"/>
                        <w:szCs w:val="16"/>
                      </w:rPr>
                      <w:t>@dmgmori.com</w:t>
                    </w:r>
                  </w:p>
                  <w:p w14:paraId="309E328A" w14:textId="77777777" w:rsidR="003F4354" w:rsidRPr="00092E73" w:rsidRDefault="003F4354" w:rsidP="003F4354">
                    <w:pPr>
                      <w:pStyle w:val="EinfAbs"/>
                      <w:spacing w:line="276" w:lineRule="auto"/>
                      <w:rPr>
                        <w:rFonts w:ascii="Arial" w:hAnsi="Arial" w:cs="Arial"/>
                        <w:color w:val="4C4C4C"/>
                        <w:position w:val="4"/>
                        <w:sz w:val="16"/>
                        <w:szCs w:val="16"/>
                      </w:rPr>
                    </w:pPr>
                    <w:hyperlink r:id="rId4" w:history="1">
                      <w:r w:rsidRPr="00DF2B1F">
                        <w:rPr>
                          <w:rStyle w:val="Hyperlink"/>
                          <w:rFonts w:ascii="Arial" w:hAnsi="Arial" w:cs="Arial"/>
                          <w:color w:val="595959"/>
                          <w:position w:val="2"/>
                          <w:sz w:val="16"/>
                          <w:szCs w:val="16"/>
                          <w:lang w:val="en-US"/>
                        </w:rPr>
                        <w:t>dmgmori.com</w:t>
                      </w:r>
                    </w:hyperlink>
                  </w:p>
                </w:txbxContent>
              </v:textbox>
              <w10:wrap anchorx="margin"/>
            </v:shape>
          </w:pict>
        </mc:Fallback>
      </mc:AlternateContent>
    </w:r>
    <w:r>
      <w:rPr>
        <w:noProof/>
      </w:rPr>
      <mc:AlternateContent>
        <mc:Choice Requires="wps">
          <w:drawing>
            <wp:anchor distT="0" distB="0" distL="114300" distR="114300" simplePos="0" relativeHeight="251658243" behindDoc="0" locked="0" layoutInCell="1" allowOverlap="1" wp14:anchorId="7CF900A7" wp14:editId="779B0D50">
              <wp:simplePos x="0" y="0"/>
              <wp:positionH relativeFrom="margin">
                <wp:align>left</wp:align>
              </wp:positionH>
              <wp:positionV relativeFrom="paragraph">
                <wp:posOffset>221615</wp:posOffset>
              </wp:positionV>
              <wp:extent cx="2130425" cy="444500"/>
              <wp:effectExtent l="0" t="0" r="0" b="0"/>
              <wp:wrapNone/>
              <wp:docPr id="2070178102" name="Textfeld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30425" cy="444500"/>
                      </a:xfrm>
                      <a:prstGeom prst="rect">
                        <a:avLst/>
                      </a:prstGeom>
                      <a:noFill/>
                      <a:ln w="6350">
                        <a:noFill/>
                      </a:ln>
                      <a:effectLst/>
                    </wps:spPr>
                    <wps:txbx>
                      <w:txbxContent>
                        <w:p w14:paraId="33982581" w14:textId="77777777" w:rsidR="003F4354" w:rsidRPr="00DF2B1F" w:rsidRDefault="003F4354" w:rsidP="003F4354">
                          <w:pPr>
                            <w:pStyle w:val="EinfAbs"/>
                            <w:spacing w:line="276" w:lineRule="auto"/>
                            <w:rPr>
                              <w:rFonts w:ascii="Arial" w:hAnsi="Arial" w:cs="Arial"/>
                              <w:b/>
                              <w:bCs/>
                              <w:color w:val="595959"/>
                              <w:position w:val="2"/>
                              <w:sz w:val="16"/>
                              <w:szCs w:val="16"/>
                            </w:rPr>
                          </w:pPr>
                          <w:r w:rsidRPr="00267EC8">
                            <w:rPr>
                              <w:rFonts w:ascii="Arial" w:hAnsi="Arial" w:cs="Arial"/>
                              <w:b/>
                              <w:bCs/>
                              <w:color w:val="4C4C4C"/>
                              <w:position w:val="2"/>
                              <w:sz w:val="16"/>
                              <w:szCs w:val="16"/>
                            </w:rPr>
                            <w:t>Kontakt</w:t>
                          </w:r>
                          <w:r>
                            <w:rPr>
                              <w:rFonts w:ascii="Arial" w:hAnsi="Arial" w:cs="Arial"/>
                              <w:b/>
                              <w:bCs/>
                              <w:color w:val="4C4C4C"/>
                              <w:position w:val="2"/>
                              <w:sz w:val="16"/>
                              <w:szCs w:val="16"/>
                            </w:rPr>
                            <w:t xml:space="preserve"> </w:t>
                          </w:r>
                          <w:r w:rsidRPr="00DF2B1F">
                            <w:rPr>
                              <w:rFonts w:ascii="Arial" w:hAnsi="Arial" w:cs="Arial"/>
                              <w:b/>
                              <w:bCs/>
                              <w:color w:val="595959"/>
                              <w:position w:val="2"/>
                              <w:sz w:val="16"/>
                              <w:szCs w:val="16"/>
                            </w:rPr>
                            <w:t>Technical Communication:</w:t>
                          </w:r>
                        </w:p>
                        <w:p w14:paraId="6EE38F4A" w14:textId="77777777" w:rsidR="003F4354" w:rsidRPr="00267EC8" w:rsidRDefault="003F4354" w:rsidP="003F4354">
                          <w:pPr>
                            <w:pStyle w:val="EinfAbs"/>
                            <w:tabs>
                              <w:tab w:val="left" w:pos="454"/>
                            </w:tabs>
                            <w:spacing w:line="276" w:lineRule="auto"/>
                            <w:rPr>
                              <w:rFonts w:ascii="Arial" w:hAnsi="Arial" w:cs="Arial"/>
                              <w:color w:val="4C4C4C"/>
                              <w:position w:val="2"/>
                              <w:sz w:val="16"/>
                              <w:szCs w:val="16"/>
                            </w:rPr>
                          </w:pPr>
                          <w:r w:rsidRPr="00267EC8">
                            <w:rPr>
                              <w:rFonts w:ascii="Arial" w:hAnsi="Arial" w:cs="Arial"/>
                              <w:color w:val="4C4C4C"/>
                              <w:position w:val="2"/>
                              <w:sz w:val="16"/>
                              <w:szCs w:val="16"/>
                            </w:rPr>
                            <w:t>Eva Manzenreiter</w:t>
                          </w:r>
                        </w:p>
                        <w:p w14:paraId="2AFD0A63" w14:textId="6492019D" w:rsidR="003F4354" w:rsidRPr="00267EC8" w:rsidRDefault="00627FF7" w:rsidP="00CA23D7">
                          <w:pPr>
                            <w:pStyle w:val="EinfAbs"/>
                            <w:rPr>
                              <w:rFonts w:ascii="Arial" w:hAnsi="Arial" w:cs="Arial"/>
                              <w:color w:val="4C4C4C"/>
                              <w:position w:val="2"/>
                              <w:sz w:val="16"/>
                              <w:szCs w:val="16"/>
                            </w:rPr>
                          </w:pPr>
                          <w:r w:rsidRPr="00627FF7">
                            <w:rPr>
                              <w:rFonts w:ascii="Arial" w:hAnsi="Arial"/>
                              <w:color w:val="4C4C4C"/>
                              <w:position w:val="2"/>
                              <w:sz w:val="16"/>
                              <w:szCs w:val="16"/>
                              <w:lang w:val="en-US"/>
                            </w:rPr>
                            <w:t>DMG MORI EMEA Holding GmbH</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F900A7" id="Textfeld 7" o:spid="_x0000_s1028" type="#_x0000_t202" style="position:absolute;margin-left:0;margin-top:17.45pt;width:167.75pt;height:35pt;z-index:251658243;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" filled="f" stroked="f" strokeweight=".5pt">
              <v:textbox inset="0,0,0,0">
                <w:txbxContent>
                  <w:p w14:paraId="33982581" w14:textId="77777777" w:rsidR="003F4354" w:rsidRPr="00DF2B1F" w:rsidRDefault="003F4354" w:rsidP="003F4354">
                    <w:pPr>
                      <w:pStyle w:val="EinfAbs"/>
                      <w:spacing w:line="276" w:lineRule="auto"/>
                      <w:rPr>
                        <w:rFonts w:ascii="Arial" w:hAnsi="Arial" w:cs="Arial"/>
                        <w:b/>
                        <w:bCs/>
                        <w:color w:val="595959"/>
                        <w:position w:val="2"/>
                        <w:sz w:val="16"/>
                        <w:szCs w:val="16"/>
                      </w:rPr>
                    </w:pPr>
                    <w:r w:rsidRPr="00267EC8">
                      <w:rPr>
                        <w:rFonts w:ascii="Arial" w:hAnsi="Arial" w:cs="Arial"/>
                        <w:b/>
                        <w:bCs/>
                        <w:color w:val="4C4C4C"/>
                        <w:position w:val="2"/>
                        <w:sz w:val="16"/>
                        <w:szCs w:val="16"/>
                      </w:rPr>
                      <w:t>Kontakt</w:t>
                    </w:r>
                    <w:r>
                      <w:rPr>
                        <w:rFonts w:ascii="Arial" w:hAnsi="Arial" w:cs="Arial"/>
                        <w:b/>
                        <w:bCs/>
                        <w:color w:val="4C4C4C"/>
                        <w:position w:val="2"/>
                        <w:sz w:val="16"/>
                        <w:szCs w:val="16"/>
                      </w:rPr>
                      <w:t xml:space="preserve"> </w:t>
                    </w:r>
                    <w:r w:rsidRPr="00DF2B1F">
                      <w:rPr>
                        <w:rFonts w:ascii="Arial" w:hAnsi="Arial" w:cs="Arial"/>
                        <w:b/>
                        <w:bCs/>
                        <w:color w:val="595959"/>
                        <w:position w:val="2"/>
                        <w:sz w:val="16"/>
                        <w:szCs w:val="16"/>
                      </w:rPr>
                      <w:t>Technical Communication:</w:t>
                    </w:r>
                  </w:p>
                  <w:p w14:paraId="6EE38F4A" w14:textId="77777777" w:rsidR="003F4354" w:rsidRPr="00267EC8" w:rsidRDefault="003F4354" w:rsidP="003F4354">
                    <w:pPr>
                      <w:pStyle w:val="EinfAbs"/>
                      <w:tabs>
                        <w:tab w:val="left" w:pos="454"/>
                      </w:tabs>
                      <w:spacing w:line="276" w:lineRule="auto"/>
                      <w:rPr>
                        <w:rFonts w:ascii="Arial" w:hAnsi="Arial" w:cs="Arial"/>
                        <w:color w:val="4C4C4C"/>
                        <w:position w:val="2"/>
                        <w:sz w:val="16"/>
                        <w:szCs w:val="16"/>
                      </w:rPr>
                    </w:pPr>
                    <w:r w:rsidRPr="00267EC8">
                      <w:rPr>
                        <w:rFonts w:ascii="Arial" w:hAnsi="Arial" w:cs="Arial"/>
                        <w:color w:val="4C4C4C"/>
                        <w:position w:val="2"/>
                        <w:sz w:val="16"/>
                        <w:szCs w:val="16"/>
                      </w:rPr>
                      <w:t>Eva Manzenreiter</w:t>
                    </w:r>
                  </w:p>
                  <w:p w14:paraId="2AFD0A63" w14:textId="6492019D" w:rsidR="003F4354" w:rsidRPr="00267EC8" w:rsidRDefault="00627FF7" w:rsidP="00CA23D7">
                    <w:pPr>
                      <w:pStyle w:val="EinfAbs"/>
                      <w:rPr>
                        <w:rFonts w:ascii="Arial" w:hAnsi="Arial" w:cs="Arial"/>
                        <w:color w:val="4C4C4C"/>
                        <w:position w:val="2"/>
                        <w:sz w:val="16"/>
                        <w:szCs w:val="16"/>
                      </w:rPr>
                    </w:pPr>
                    <w:r w:rsidRPr="00627FF7">
                      <w:rPr>
                        <w:rFonts w:ascii="Arial" w:hAnsi="Arial"/>
                        <w:color w:val="4C4C4C"/>
                        <w:position w:val="2"/>
                        <w:sz w:val="16"/>
                        <w:szCs w:val="16"/>
                        <w:lang w:val="en-US"/>
                      </w:rPr>
                      <w:t>DMG MORI EMEA Holding GmbH</w:t>
                    </w:r>
                  </w:p>
                </w:txbxContent>
              </v:textbox>
              <w10:wrap anchorx="margin"/>
            </v:shape>
          </w:pict>
        </mc:Fallback>
      </mc:AlternateContent>
    </w:r>
    <w:bookmarkEnd w:id="0"/>
    <w:bookmarkEnd w:id="1"/>
  </w:p>
  <w:p w14:paraId="7FE8E95A" w14:textId="77777777" w:rsidR="003F4354" w:rsidRDefault="001476F8">
    <w:pPr>
      <w:pStyle w:val="Kopfzeile"/>
    </w:pPr>
    <w:r>
      <w:rPr>
        <w:noProof/>
      </w:rPr>
      <mc:AlternateContent>
        <mc:Choice Requires="wps">
          <w:drawing>
            <wp:anchor distT="4294967294" distB="4294967294" distL="114300" distR="114300" simplePos="0" relativeHeight="251658242" behindDoc="0" locked="0" layoutInCell="1" allowOverlap="1" wp14:anchorId="125A9FA4" wp14:editId="39AB0782">
              <wp:simplePos x="0" y="0"/>
              <wp:positionH relativeFrom="margin">
                <wp:posOffset>0</wp:posOffset>
              </wp:positionH>
              <wp:positionV relativeFrom="paragraph">
                <wp:posOffset>544829</wp:posOffset>
              </wp:positionV>
              <wp:extent cx="6083935" cy="0"/>
              <wp:effectExtent l="0" t="0" r="0" b="0"/>
              <wp:wrapNone/>
              <wp:docPr id="1767917822" name="Gerade Verbindung 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083935" cy="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1F6D8942">
            <v:line id="Gerade Verbindung 5" style="position:absolute;flip:y;z-index:251656192;visibility:visible;mso-wrap-style:square;mso-width-percent:0;mso-height-percent:0;mso-wrap-distance-left:9pt;mso-wrap-distance-top:.ßmm;mso-wrap-distance-right:9pt;mso-wrap-distance-bottom:.ßmm;mso-position-horizontal:absolute;mso-position-horizontal-relative:margin;mso-position-vertical:absolute;mso-position-vertical-relative:text;mso-width-percent:0;mso-height-percent:0;mso-width-relative:margin;mso-height-relative:margin" o:spid="_x0000_s1026" strokecolor="windowText" strokeweight=".5pt" from="0,42.9pt" to="479.05pt,42.9pt" w14:anchorId="51D3F5E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">
              <v:stroke joinstyle="miter"/>
              <o:lock v:ext="edit" shapetype="f"/>
              <w10:wrap anchorx="margin"/>
            </v:lin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8672C1" w14:textId="77777777" w:rsidR="00CA23D7" w:rsidRDefault="00CA23D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402FA6"/>
    <w:multiLevelType w:val="hybridMultilevel"/>
    <w:tmpl w:val="61E4C6E2"/>
    <w:lvl w:ilvl="0" w:tplc="6950882C">
      <w:numFmt w:val="bullet"/>
      <w:pStyle w:val="02Aufzhlung"/>
      <w:lvlText w:val="•"/>
      <w:lvlJc w:val="left"/>
      <w:pPr>
        <w:ind w:left="510" w:hanging="510"/>
      </w:pPr>
      <w:rPr>
        <w:rFonts w:ascii="CompatilFactLTPro-Rg" w:eastAsia="Aptos" w:hAnsi="CompatilFactLTPro-Rg" w:cs="Compatil Fact LT Pro" w:hint="default"/>
      </w:rPr>
    </w:lvl>
    <w:lvl w:ilvl="1" w:tplc="04070003" w:tentative="1">
      <w:start w:val="1"/>
      <w:numFmt w:val="bullet"/>
      <w:lvlText w:val="o"/>
      <w:lvlJc w:val="left"/>
      <w:pPr>
        <w:ind w:left="1440" w:hanging="360"/>
      </w:pPr>
      <w:rPr>
        <w:rFonts w:ascii="Courier New" w:hAnsi="Courier New" w:cs="Compatil Fact LT Pro"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mpatil Fact LT Pro"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mpatil Fact LT Pro"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CFD782A"/>
    <w:multiLevelType w:val="hybridMultilevel"/>
    <w:tmpl w:val="6A9EA5BE"/>
    <w:lvl w:ilvl="0" w:tplc="C1EE77E0">
      <w:numFmt w:val="bullet"/>
      <w:lvlText w:val="•"/>
      <w:lvlJc w:val="left"/>
      <w:pPr>
        <w:ind w:left="1080" w:hanging="72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1E1ABE"/>
    <w:multiLevelType w:val="hybridMultilevel"/>
    <w:tmpl w:val="25685FAA"/>
    <w:lvl w:ilvl="0" w:tplc="F6326898">
      <w:numFmt w:val="bullet"/>
      <w:lvlText w:val="•"/>
      <w:lvlJc w:val="left"/>
      <w:pPr>
        <w:ind w:left="1080" w:hanging="72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27C25D6"/>
    <w:multiLevelType w:val="hybridMultilevel"/>
    <w:tmpl w:val="E264DC6E"/>
    <w:lvl w:ilvl="0" w:tplc="914EF280">
      <w:numFmt w:val="bullet"/>
      <w:lvlText w:val="•"/>
      <w:lvlJc w:val="left"/>
      <w:pPr>
        <w:ind w:left="1080" w:hanging="72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52303428"/>
    <w:multiLevelType w:val="hybridMultilevel"/>
    <w:tmpl w:val="56F69D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1A83D87"/>
    <w:multiLevelType w:val="hybridMultilevel"/>
    <w:tmpl w:val="573273F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4012CAA"/>
    <w:multiLevelType w:val="hybridMultilevel"/>
    <w:tmpl w:val="4D8671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97177039">
    <w:abstractNumId w:val="0"/>
  </w:num>
  <w:num w:numId="2" w16cid:durableId="1932859125">
    <w:abstractNumId w:val="6"/>
  </w:num>
  <w:num w:numId="3" w16cid:durableId="267275335">
    <w:abstractNumId w:val="2"/>
  </w:num>
  <w:num w:numId="4" w16cid:durableId="347175202">
    <w:abstractNumId w:val="5"/>
  </w:num>
  <w:num w:numId="5" w16cid:durableId="1495607179">
    <w:abstractNumId w:val="3"/>
  </w:num>
  <w:num w:numId="6" w16cid:durableId="509561842">
    <w:abstractNumId w:val="4"/>
  </w:num>
  <w:num w:numId="7" w16cid:durableId="5755901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10979"/>
    <w:rsid w:val="0000741D"/>
    <w:rsid w:val="0004419D"/>
    <w:rsid w:val="000712AB"/>
    <w:rsid w:val="00072DEF"/>
    <w:rsid w:val="00094C77"/>
    <w:rsid w:val="000B195E"/>
    <w:rsid w:val="000D2A3D"/>
    <w:rsid w:val="000E7FC8"/>
    <w:rsid w:val="000F5622"/>
    <w:rsid w:val="001476F8"/>
    <w:rsid w:val="00165F0B"/>
    <w:rsid w:val="00185C75"/>
    <w:rsid w:val="001906A8"/>
    <w:rsid w:val="00194AEB"/>
    <w:rsid w:val="001B29BD"/>
    <w:rsid w:val="001C6F68"/>
    <w:rsid w:val="001E346F"/>
    <w:rsid w:val="00200FC3"/>
    <w:rsid w:val="00217357"/>
    <w:rsid w:val="002247C5"/>
    <w:rsid w:val="002509C9"/>
    <w:rsid w:val="002572A0"/>
    <w:rsid w:val="002912CE"/>
    <w:rsid w:val="002A72E1"/>
    <w:rsid w:val="002C7E0F"/>
    <w:rsid w:val="002E3A19"/>
    <w:rsid w:val="002E5CCC"/>
    <w:rsid w:val="003544B8"/>
    <w:rsid w:val="00363954"/>
    <w:rsid w:val="00396623"/>
    <w:rsid w:val="003A4C63"/>
    <w:rsid w:val="003B771E"/>
    <w:rsid w:val="003F4354"/>
    <w:rsid w:val="003F4725"/>
    <w:rsid w:val="003F59C4"/>
    <w:rsid w:val="00402D45"/>
    <w:rsid w:val="00410979"/>
    <w:rsid w:val="00461D31"/>
    <w:rsid w:val="004D0FA6"/>
    <w:rsid w:val="004D575D"/>
    <w:rsid w:val="004E26A3"/>
    <w:rsid w:val="004F4CDE"/>
    <w:rsid w:val="00551701"/>
    <w:rsid w:val="00576F88"/>
    <w:rsid w:val="0058663E"/>
    <w:rsid w:val="005B3354"/>
    <w:rsid w:val="005B5B9E"/>
    <w:rsid w:val="005C38D4"/>
    <w:rsid w:val="005D7159"/>
    <w:rsid w:val="00627FF7"/>
    <w:rsid w:val="00651DBC"/>
    <w:rsid w:val="00661A16"/>
    <w:rsid w:val="006757F0"/>
    <w:rsid w:val="00676E86"/>
    <w:rsid w:val="00683936"/>
    <w:rsid w:val="006979D2"/>
    <w:rsid w:val="006B2CFD"/>
    <w:rsid w:val="006E1C89"/>
    <w:rsid w:val="00706EA1"/>
    <w:rsid w:val="0072354D"/>
    <w:rsid w:val="0076505B"/>
    <w:rsid w:val="007A4ABF"/>
    <w:rsid w:val="007C4B6D"/>
    <w:rsid w:val="00854CE7"/>
    <w:rsid w:val="0088430E"/>
    <w:rsid w:val="00885C83"/>
    <w:rsid w:val="008B1F98"/>
    <w:rsid w:val="008D6DE4"/>
    <w:rsid w:val="008D7B77"/>
    <w:rsid w:val="008E42C3"/>
    <w:rsid w:val="0093400E"/>
    <w:rsid w:val="00940140"/>
    <w:rsid w:val="00963B10"/>
    <w:rsid w:val="009C2C1B"/>
    <w:rsid w:val="00A12134"/>
    <w:rsid w:val="00A134A7"/>
    <w:rsid w:val="00AA1950"/>
    <w:rsid w:val="00B137F4"/>
    <w:rsid w:val="00B3264C"/>
    <w:rsid w:val="00B41E8F"/>
    <w:rsid w:val="00B57A47"/>
    <w:rsid w:val="00B72177"/>
    <w:rsid w:val="00BD5777"/>
    <w:rsid w:val="00BF412D"/>
    <w:rsid w:val="00BF62FB"/>
    <w:rsid w:val="00C16FE7"/>
    <w:rsid w:val="00C32DEF"/>
    <w:rsid w:val="00C52667"/>
    <w:rsid w:val="00C82D87"/>
    <w:rsid w:val="00CA23D7"/>
    <w:rsid w:val="00CA610E"/>
    <w:rsid w:val="00CB0F10"/>
    <w:rsid w:val="00CB69A2"/>
    <w:rsid w:val="00CC33D4"/>
    <w:rsid w:val="00D3653C"/>
    <w:rsid w:val="00D540BA"/>
    <w:rsid w:val="00D67734"/>
    <w:rsid w:val="00D970E2"/>
    <w:rsid w:val="00DE0DBA"/>
    <w:rsid w:val="00DE115A"/>
    <w:rsid w:val="00DE2AAA"/>
    <w:rsid w:val="00DE5CE9"/>
    <w:rsid w:val="00DE7D1E"/>
    <w:rsid w:val="00DF2B1F"/>
    <w:rsid w:val="00E02CAB"/>
    <w:rsid w:val="00E47C34"/>
    <w:rsid w:val="00EC2140"/>
    <w:rsid w:val="00ED0252"/>
    <w:rsid w:val="00F16AF7"/>
    <w:rsid w:val="00F57280"/>
    <w:rsid w:val="00F945D0"/>
    <w:rsid w:val="039A62E3"/>
    <w:rsid w:val="0B50D4B9"/>
    <w:rsid w:val="0E3648E0"/>
    <w:rsid w:val="0E3CAAA1"/>
    <w:rsid w:val="12C2CE51"/>
    <w:rsid w:val="12D16CF0"/>
    <w:rsid w:val="23143784"/>
    <w:rsid w:val="24A6D94B"/>
    <w:rsid w:val="30FF2F08"/>
    <w:rsid w:val="3B74647A"/>
    <w:rsid w:val="3CA2B7B2"/>
    <w:rsid w:val="5F609F9B"/>
    <w:rsid w:val="6078BA59"/>
    <w:rsid w:val="6709D23A"/>
    <w:rsid w:val="6BAB5FB5"/>
    <w:rsid w:val="7237F270"/>
    <w:rsid w:val="7E29CD5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881257"/>
  <w15:chartTrackingRefBased/>
  <w15:docId w15:val="{F02A5967-FE44-574F-BC1E-3E69E47BA0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rial"/>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pacing w:after="160" w:line="259" w:lineRule="auto"/>
    </w:pPr>
    <w:rPr>
      <w:sz w:val="22"/>
      <w:szCs w:val="22"/>
      <w:lang w:val="en-US" w:eastAsia="en-US"/>
    </w:rPr>
  </w:style>
  <w:style w:type="paragraph" w:styleId="berschrift1">
    <w:name w:val="heading 1"/>
    <w:basedOn w:val="Standard"/>
    <w:next w:val="Standard"/>
    <w:link w:val="berschrift1Zchn"/>
    <w:uiPriority w:val="9"/>
    <w:qFormat/>
    <w:rsid w:val="003F4354"/>
    <w:pPr>
      <w:keepNext/>
      <w:keepLines/>
      <w:spacing w:before="360" w:after="80"/>
      <w:outlineLvl w:val="0"/>
    </w:pPr>
    <w:rPr>
      <w:rFonts w:ascii="Aptos Display" w:eastAsia="Times New Roman" w:hAnsi="Aptos Display" w:cs="Times New Roman"/>
      <w:color w:val="0F4761"/>
      <w:sz w:val="40"/>
      <w:szCs w:val="40"/>
    </w:rPr>
  </w:style>
  <w:style w:type="paragraph" w:styleId="berschrift2">
    <w:name w:val="heading 2"/>
    <w:basedOn w:val="Standard"/>
    <w:next w:val="Standard"/>
    <w:link w:val="berschrift2Zchn"/>
    <w:uiPriority w:val="9"/>
    <w:semiHidden/>
    <w:unhideWhenUsed/>
    <w:qFormat/>
    <w:rsid w:val="003F4354"/>
    <w:pPr>
      <w:keepNext/>
      <w:keepLines/>
      <w:spacing w:before="160" w:after="80"/>
      <w:outlineLvl w:val="1"/>
    </w:pPr>
    <w:rPr>
      <w:rFonts w:ascii="Aptos Display" w:eastAsia="Times New Roman" w:hAnsi="Aptos Display" w:cs="Times New Roman"/>
      <w:color w:val="0F4761"/>
      <w:sz w:val="32"/>
      <w:szCs w:val="32"/>
    </w:rPr>
  </w:style>
  <w:style w:type="paragraph" w:styleId="berschrift3">
    <w:name w:val="heading 3"/>
    <w:basedOn w:val="Standard"/>
    <w:next w:val="Standard"/>
    <w:link w:val="berschrift3Zchn"/>
    <w:uiPriority w:val="9"/>
    <w:semiHidden/>
    <w:unhideWhenUsed/>
    <w:qFormat/>
    <w:rsid w:val="003F4354"/>
    <w:pPr>
      <w:keepNext/>
      <w:keepLines/>
      <w:spacing w:before="160" w:after="80"/>
      <w:outlineLvl w:val="2"/>
    </w:pPr>
    <w:rPr>
      <w:rFonts w:eastAsia="Times New Roman" w:cs="Times New Roman"/>
      <w:color w:val="0F4761"/>
      <w:sz w:val="28"/>
      <w:szCs w:val="28"/>
    </w:rPr>
  </w:style>
  <w:style w:type="paragraph" w:styleId="berschrift4">
    <w:name w:val="heading 4"/>
    <w:basedOn w:val="Standard"/>
    <w:next w:val="Standard"/>
    <w:link w:val="berschrift4Zchn"/>
    <w:uiPriority w:val="9"/>
    <w:semiHidden/>
    <w:unhideWhenUsed/>
    <w:qFormat/>
    <w:rsid w:val="003F4354"/>
    <w:pPr>
      <w:keepNext/>
      <w:keepLines/>
      <w:spacing w:before="80" w:after="40"/>
      <w:outlineLvl w:val="3"/>
    </w:pPr>
    <w:rPr>
      <w:rFonts w:eastAsia="Times New Roman" w:cs="Times New Roman"/>
      <w:i/>
      <w:iCs/>
      <w:color w:val="0F4761"/>
    </w:rPr>
  </w:style>
  <w:style w:type="paragraph" w:styleId="berschrift5">
    <w:name w:val="heading 5"/>
    <w:basedOn w:val="Standard"/>
    <w:next w:val="Standard"/>
    <w:link w:val="berschrift5Zchn"/>
    <w:uiPriority w:val="9"/>
    <w:semiHidden/>
    <w:unhideWhenUsed/>
    <w:qFormat/>
    <w:rsid w:val="003F4354"/>
    <w:pPr>
      <w:keepNext/>
      <w:keepLines/>
      <w:spacing w:before="80" w:after="40"/>
      <w:outlineLvl w:val="4"/>
    </w:pPr>
    <w:rPr>
      <w:rFonts w:eastAsia="Times New Roman" w:cs="Times New Roman"/>
      <w:color w:val="0F4761"/>
    </w:rPr>
  </w:style>
  <w:style w:type="paragraph" w:styleId="berschrift6">
    <w:name w:val="heading 6"/>
    <w:basedOn w:val="Standard"/>
    <w:next w:val="Standard"/>
    <w:link w:val="berschrift6Zchn"/>
    <w:uiPriority w:val="9"/>
    <w:semiHidden/>
    <w:unhideWhenUsed/>
    <w:qFormat/>
    <w:rsid w:val="003F4354"/>
    <w:pPr>
      <w:keepNext/>
      <w:keepLines/>
      <w:spacing w:before="40" w:after="0"/>
      <w:outlineLvl w:val="5"/>
    </w:pPr>
    <w:rPr>
      <w:rFonts w:eastAsia="Times New Roman" w:cs="Times New Roman"/>
      <w:i/>
      <w:iCs/>
      <w:color w:val="595959"/>
    </w:rPr>
  </w:style>
  <w:style w:type="paragraph" w:styleId="berschrift7">
    <w:name w:val="heading 7"/>
    <w:basedOn w:val="Standard"/>
    <w:next w:val="Standard"/>
    <w:link w:val="berschrift7Zchn"/>
    <w:uiPriority w:val="9"/>
    <w:semiHidden/>
    <w:unhideWhenUsed/>
    <w:qFormat/>
    <w:rsid w:val="003F4354"/>
    <w:pPr>
      <w:keepNext/>
      <w:keepLines/>
      <w:spacing w:before="40" w:after="0"/>
      <w:outlineLvl w:val="6"/>
    </w:pPr>
    <w:rPr>
      <w:rFonts w:eastAsia="Times New Roman" w:cs="Times New Roman"/>
      <w:color w:val="595959"/>
    </w:rPr>
  </w:style>
  <w:style w:type="paragraph" w:styleId="berschrift8">
    <w:name w:val="heading 8"/>
    <w:basedOn w:val="Standard"/>
    <w:next w:val="Standard"/>
    <w:link w:val="berschrift8Zchn"/>
    <w:uiPriority w:val="9"/>
    <w:semiHidden/>
    <w:unhideWhenUsed/>
    <w:qFormat/>
    <w:rsid w:val="003F4354"/>
    <w:pPr>
      <w:keepNext/>
      <w:keepLines/>
      <w:spacing w:after="0"/>
      <w:outlineLvl w:val="7"/>
    </w:pPr>
    <w:rPr>
      <w:rFonts w:eastAsia="Times New Roman" w:cs="Times New Roman"/>
      <w:i/>
      <w:iCs/>
      <w:color w:val="272727"/>
    </w:rPr>
  </w:style>
  <w:style w:type="paragraph" w:styleId="berschrift9">
    <w:name w:val="heading 9"/>
    <w:basedOn w:val="Standard"/>
    <w:next w:val="Standard"/>
    <w:link w:val="berschrift9Zchn"/>
    <w:uiPriority w:val="9"/>
    <w:semiHidden/>
    <w:unhideWhenUsed/>
    <w:qFormat/>
    <w:rsid w:val="003F4354"/>
    <w:pPr>
      <w:keepNext/>
      <w:keepLines/>
      <w:spacing w:after="0"/>
      <w:outlineLvl w:val="8"/>
    </w:pPr>
    <w:rPr>
      <w:rFonts w:eastAsia="Times New Roman" w:cs="Times New Roman"/>
      <w:color w:val="272727"/>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
    <w:rsid w:val="003F4354"/>
    <w:rPr>
      <w:rFonts w:ascii="Aptos Display" w:eastAsia="Times New Roman" w:hAnsi="Aptos Display" w:cs="Times New Roman"/>
      <w:color w:val="0F4761"/>
      <w:sz w:val="40"/>
      <w:szCs w:val="40"/>
    </w:rPr>
  </w:style>
  <w:style w:type="character" w:customStyle="1" w:styleId="berschrift2Zchn">
    <w:name w:val="Überschrift 2 Zchn"/>
    <w:link w:val="berschrift2"/>
    <w:uiPriority w:val="9"/>
    <w:semiHidden/>
    <w:rsid w:val="003F4354"/>
    <w:rPr>
      <w:rFonts w:ascii="Aptos Display" w:eastAsia="Times New Roman" w:hAnsi="Aptos Display" w:cs="Times New Roman"/>
      <w:color w:val="0F4761"/>
      <w:sz w:val="32"/>
      <w:szCs w:val="32"/>
    </w:rPr>
  </w:style>
  <w:style w:type="character" w:customStyle="1" w:styleId="berschrift3Zchn">
    <w:name w:val="Überschrift 3 Zchn"/>
    <w:link w:val="berschrift3"/>
    <w:uiPriority w:val="9"/>
    <w:semiHidden/>
    <w:rsid w:val="003F4354"/>
    <w:rPr>
      <w:rFonts w:eastAsia="Times New Roman" w:cs="Times New Roman"/>
      <w:color w:val="0F4761"/>
      <w:sz w:val="28"/>
      <w:szCs w:val="28"/>
    </w:rPr>
  </w:style>
  <w:style w:type="character" w:customStyle="1" w:styleId="berschrift4Zchn">
    <w:name w:val="Überschrift 4 Zchn"/>
    <w:link w:val="berschrift4"/>
    <w:uiPriority w:val="9"/>
    <w:semiHidden/>
    <w:rsid w:val="003F4354"/>
    <w:rPr>
      <w:rFonts w:eastAsia="Times New Roman" w:cs="Times New Roman"/>
      <w:i/>
      <w:iCs/>
      <w:color w:val="0F4761"/>
    </w:rPr>
  </w:style>
  <w:style w:type="character" w:customStyle="1" w:styleId="berschrift5Zchn">
    <w:name w:val="Überschrift 5 Zchn"/>
    <w:link w:val="berschrift5"/>
    <w:uiPriority w:val="9"/>
    <w:semiHidden/>
    <w:rsid w:val="003F4354"/>
    <w:rPr>
      <w:rFonts w:eastAsia="Times New Roman" w:cs="Times New Roman"/>
      <w:color w:val="0F4761"/>
    </w:rPr>
  </w:style>
  <w:style w:type="character" w:customStyle="1" w:styleId="berschrift6Zchn">
    <w:name w:val="Überschrift 6 Zchn"/>
    <w:link w:val="berschrift6"/>
    <w:uiPriority w:val="9"/>
    <w:semiHidden/>
    <w:rsid w:val="003F4354"/>
    <w:rPr>
      <w:rFonts w:eastAsia="Times New Roman" w:cs="Times New Roman"/>
      <w:i/>
      <w:iCs/>
      <w:color w:val="595959"/>
    </w:rPr>
  </w:style>
  <w:style w:type="character" w:customStyle="1" w:styleId="berschrift7Zchn">
    <w:name w:val="Überschrift 7 Zchn"/>
    <w:link w:val="berschrift7"/>
    <w:uiPriority w:val="9"/>
    <w:semiHidden/>
    <w:rsid w:val="003F4354"/>
    <w:rPr>
      <w:rFonts w:eastAsia="Times New Roman" w:cs="Times New Roman"/>
      <w:color w:val="595959"/>
    </w:rPr>
  </w:style>
  <w:style w:type="character" w:customStyle="1" w:styleId="berschrift8Zchn">
    <w:name w:val="Überschrift 8 Zchn"/>
    <w:link w:val="berschrift8"/>
    <w:uiPriority w:val="9"/>
    <w:semiHidden/>
    <w:rsid w:val="003F4354"/>
    <w:rPr>
      <w:rFonts w:eastAsia="Times New Roman" w:cs="Times New Roman"/>
      <w:i/>
      <w:iCs/>
      <w:color w:val="272727"/>
    </w:rPr>
  </w:style>
  <w:style w:type="character" w:customStyle="1" w:styleId="berschrift9Zchn">
    <w:name w:val="Überschrift 9 Zchn"/>
    <w:link w:val="berschrift9"/>
    <w:uiPriority w:val="9"/>
    <w:semiHidden/>
    <w:rsid w:val="003F4354"/>
    <w:rPr>
      <w:rFonts w:eastAsia="Times New Roman" w:cs="Times New Roman"/>
      <w:color w:val="272727"/>
    </w:rPr>
  </w:style>
  <w:style w:type="paragraph" w:styleId="Titel">
    <w:name w:val="Title"/>
    <w:basedOn w:val="Standard"/>
    <w:next w:val="Standard"/>
    <w:link w:val="TitelZchn"/>
    <w:uiPriority w:val="10"/>
    <w:qFormat/>
    <w:rsid w:val="003F4354"/>
    <w:pPr>
      <w:spacing w:after="80" w:line="240" w:lineRule="auto"/>
      <w:contextualSpacing/>
    </w:pPr>
    <w:rPr>
      <w:rFonts w:ascii="Aptos Display" w:eastAsia="Times New Roman" w:hAnsi="Aptos Display" w:cs="Times New Roman"/>
      <w:spacing w:val="-10"/>
      <w:kern w:val="28"/>
      <w:sz w:val="56"/>
      <w:szCs w:val="56"/>
    </w:rPr>
  </w:style>
  <w:style w:type="character" w:customStyle="1" w:styleId="TitelZchn">
    <w:name w:val="Titel Zchn"/>
    <w:link w:val="Titel"/>
    <w:uiPriority w:val="10"/>
    <w:rsid w:val="003F4354"/>
    <w:rPr>
      <w:rFonts w:ascii="Aptos Display" w:eastAsia="Times New Roman" w:hAnsi="Aptos Display" w:cs="Times New Roman"/>
      <w:spacing w:val="-10"/>
      <w:kern w:val="28"/>
      <w:sz w:val="56"/>
      <w:szCs w:val="56"/>
    </w:rPr>
  </w:style>
  <w:style w:type="paragraph" w:styleId="Untertitel">
    <w:name w:val="Subtitle"/>
    <w:basedOn w:val="Standard"/>
    <w:next w:val="Standard"/>
    <w:link w:val="UntertitelZchn"/>
    <w:uiPriority w:val="11"/>
    <w:qFormat/>
    <w:rsid w:val="003F4354"/>
    <w:pPr>
      <w:numPr>
        <w:ilvl w:val="1"/>
      </w:numPr>
    </w:pPr>
    <w:rPr>
      <w:rFonts w:eastAsia="Times New Roman" w:cs="Times New Roman"/>
      <w:color w:val="595959"/>
      <w:spacing w:val="15"/>
      <w:sz w:val="28"/>
      <w:szCs w:val="28"/>
    </w:rPr>
  </w:style>
  <w:style w:type="character" w:customStyle="1" w:styleId="UntertitelZchn">
    <w:name w:val="Untertitel Zchn"/>
    <w:link w:val="Untertitel"/>
    <w:uiPriority w:val="11"/>
    <w:rsid w:val="003F4354"/>
    <w:rPr>
      <w:rFonts w:eastAsia="Times New Roman" w:cs="Times New Roman"/>
      <w:color w:val="595959"/>
      <w:spacing w:val="15"/>
      <w:sz w:val="28"/>
      <w:szCs w:val="28"/>
    </w:rPr>
  </w:style>
  <w:style w:type="paragraph" w:styleId="Zitat">
    <w:name w:val="Quote"/>
    <w:basedOn w:val="Standard"/>
    <w:next w:val="Standard"/>
    <w:link w:val="ZitatZchn"/>
    <w:uiPriority w:val="29"/>
    <w:qFormat/>
    <w:rsid w:val="003F4354"/>
    <w:pPr>
      <w:spacing w:before="160"/>
      <w:jc w:val="center"/>
    </w:pPr>
    <w:rPr>
      <w:i/>
      <w:iCs/>
      <w:color w:val="404040"/>
    </w:rPr>
  </w:style>
  <w:style w:type="character" w:customStyle="1" w:styleId="ZitatZchn">
    <w:name w:val="Zitat Zchn"/>
    <w:link w:val="Zitat"/>
    <w:uiPriority w:val="29"/>
    <w:rsid w:val="003F4354"/>
    <w:rPr>
      <w:i/>
      <w:iCs/>
      <w:color w:val="404040"/>
    </w:rPr>
  </w:style>
  <w:style w:type="paragraph" w:styleId="Listenabsatz">
    <w:name w:val="List Paragraph"/>
    <w:basedOn w:val="Standard"/>
    <w:uiPriority w:val="34"/>
    <w:qFormat/>
    <w:rsid w:val="003F4354"/>
    <w:pPr>
      <w:ind w:left="720"/>
      <w:contextualSpacing/>
    </w:pPr>
  </w:style>
  <w:style w:type="character" w:styleId="IntensiveHervorhebung">
    <w:name w:val="Intense Emphasis"/>
    <w:uiPriority w:val="21"/>
    <w:qFormat/>
    <w:rsid w:val="003F4354"/>
    <w:rPr>
      <w:i/>
      <w:iCs/>
      <w:color w:val="0F4761"/>
    </w:rPr>
  </w:style>
  <w:style w:type="paragraph" w:styleId="IntensivesZitat">
    <w:name w:val="Intense Quote"/>
    <w:basedOn w:val="Standard"/>
    <w:next w:val="Standard"/>
    <w:link w:val="IntensivesZitatZchn"/>
    <w:uiPriority w:val="30"/>
    <w:qFormat/>
    <w:rsid w:val="003F4354"/>
    <w:pPr>
      <w:pBdr>
        <w:top w:val="single" w:sz="4" w:space="10" w:color="0F4761"/>
        <w:bottom w:val="single" w:sz="4" w:space="10" w:color="0F4761"/>
      </w:pBdr>
      <w:spacing w:before="360" w:after="360"/>
      <w:ind w:left="864" w:right="864"/>
      <w:jc w:val="center"/>
    </w:pPr>
    <w:rPr>
      <w:i/>
      <w:iCs/>
      <w:color w:val="0F4761"/>
    </w:rPr>
  </w:style>
  <w:style w:type="character" w:customStyle="1" w:styleId="IntensivesZitatZchn">
    <w:name w:val="Intensives Zitat Zchn"/>
    <w:link w:val="IntensivesZitat"/>
    <w:uiPriority w:val="30"/>
    <w:rsid w:val="003F4354"/>
    <w:rPr>
      <w:i/>
      <w:iCs/>
      <w:color w:val="0F4761"/>
    </w:rPr>
  </w:style>
  <w:style w:type="character" w:styleId="IntensiverVerweis">
    <w:name w:val="Intense Reference"/>
    <w:uiPriority w:val="32"/>
    <w:qFormat/>
    <w:rsid w:val="003F4354"/>
    <w:rPr>
      <w:b/>
      <w:bCs/>
      <w:smallCaps/>
      <w:color w:val="0F4761"/>
      <w:spacing w:val="5"/>
    </w:rPr>
  </w:style>
  <w:style w:type="paragraph" w:styleId="Kopfzeile">
    <w:name w:val="header"/>
    <w:basedOn w:val="Standard"/>
    <w:link w:val="KopfzeileZchn"/>
    <w:uiPriority w:val="99"/>
    <w:unhideWhenUsed/>
    <w:rsid w:val="003F4354"/>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3F4354"/>
  </w:style>
  <w:style w:type="paragraph" w:styleId="Fuzeile">
    <w:name w:val="footer"/>
    <w:basedOn w:val="Standard"/>
    <w:link w:val="FuzeileZchn"/>
    <w:uiPriority w:val="99"/>
    <w:unhideWhenUsed/>
    <w:rsid w:val="003F4354"/>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3F4354"/>
  </w:style>
  <w:style w:type="paragraph" w:customStyle="1" w:styleId="EinfAbs">
    <w:name w:val="[Einf. Abs.]"/>
    <w:basedOn w:val="Standard"/>
    <w:uiPriority w:val="99"/>
    <w:rsid w:val="003F4354"/>
    <w:pPr>
      <w:widowControl w:val="0"/>
      <w:autoSpaceDE w:val="0"/>
      <w:autoSpaceDN w:val="0"/>
      <w:adjustRightInd w:val="0"/>
      <w:spacing w:after="0" w:line="288" w:lineRule="auto"/>
      <w:textAlignment w:val="center"/>
    </w:pPr>
    <w:rPr>
      <w:rFonts w:ascii="MinionPro-Regular" w:hAnsi="MinionPro-Regular" w:cs="MinionPro-Regular"/>
      <w:color w:val="000000"/>
      <w:sz w:val="24"/>
      <w:szCs w:val="24"/>
      <w:lang w:val="de-DE"/>
    </w:rPr>
  </w:style>
  <w:style w:type="character" w:styleId="Hyperlink">
    <w:name w:val="Hyperlink"/>
    <w:uiPriority w:val="99"/>
    <w:unhideWhenUsed/>
    <w:rsid w:val="003F4354"/>
    <w:rPr>
      <w:color w:val="467886"/>
      <w:u w:val="single"/>
    </w:rPr>
  </w:style>
  <w:style w:type="paragraph" w:customStyle="1" w:styleId="02Aufzhlung">
    <w:name w:val="02_Aufzählung"/>
    <w:basedOn w:val="Standard"/>
    <w:qFormat/>
    <w:rsid w:val="001906A8"/>
    <w:pPr>
      <w:widowControl w:val="0"/>
      <w:numPr>
        <w:numId w:val="1"/>
      </w:numPr>
      <w:tabs>
        <w:tab w:val="left" w:pos="340"/>
      </w:tabs>
      <w:autoSpaceDE w:val="0"/>
      <w:autoSpaceDN w:val="0"/>
      <w:adjustRightInd w:val="0"/>
      <w:spacing w:after="0" w:line="288" w:lineRule="auto"/>
      <w:textAlignment w:val="center"/>
    </w:pPr>
    <w:rPr>
      <w:rFonts w:ascii="CompatilFactLTPro-Rg" w:hAnsi="CompatilFactLTPro-Rg" w:cs="CompatilFactLTPro-Rg"/>
      <w:color w:val="000000"/>
      <w:lang w:val="de-DE"/>
    </w:rPr>
  </w:style>
  <w:style w:type="paragraph" w:styleId="berarbeitung">
    <w:name w:val="Revision"/>
    <w:hidden/>
    <w:uiPriority w:val="99"/>
    <w:semiHidden/>
    <w:rsid w:val="00410979"/>
    <w:rPr>
      <w:sz w:val="22"/>
      <w:szCs w:val="22"/>
      <w:lang w:val="en-US" w:eastAsia="en-US"/>
    </w:rPr>
  </w:style>
  <w:style w:type="paragraph" w:customStyle="1" w:styleId="p1">
    <w:name w:val="p1"/>
    <w:basedOn w:val="Standard"/>
    <w:rsid w:val="003F59C4"/>
    <w:pPr>
      <w:spacing w:before="100" w:beforeAutospacing="1" w:after="100" w:afterAutospacing="1" w:line="240" w:lineRule="auto"/>
    </w:pPr>
    <w:rPr>
      <w:rFonts w:ascii="Times New Roman" w:eastAsia="Times New Roman" w:hAnsi="Times New Roman" w:cs="Times New Roman"/>
      <w:sz w:val="24"/>
      <w:szCs w:val="24"/>
      <w:lang w:val="de-DE" w:eastAsia="de-DE"/>
    </w:rPr>
  </w:style>
  <w:style w:type="character" w:styleId="Kommentarzeichen">
    <w:name w:val="annotation reference"/>
    <w:basedOn w:val="Absatz-Standardschriftart"/>
    <w:uiPriority w:val="99"/>
    <w:semiHidden/>
    <w:unhideWhenUsed/>
    <w:rsid w:val="00217357"/>
    <w:rPr>
      <w:sz w:val="16"/>
      <w:szCs w:val="16"/>
    </w:rPr>
  </w:style>
  <w:style w:type="paragraph" w:styleId="Kommentartext">
    <w:name w:val="annotation text"/>
    <w:basedOn w:val="Standard"/>
    <w:link w:val="KommentartextZchn"/>
    <w:uiPriority w:val="99"/>
    <w:unhideWhenUsed/>
    <w:rsid w:val="00217357"/>
    <w:pPr>
      <w:spacing w:line="240" w:lineRule="auto"/>
    </w:pPr>
    <w:rPr>
      <w:sz w:val="20"/>
      <w:szCs w:val="20"/>
    </w:rPr>
  </w:style>
  <w:style w:type="character" w:customStyle="1" w:styleId="KommentartextZchn">
    <w:name w:val="Kommentartext Zchn"/>
    <w:basedOn w:val="Absatz-Standardschriftart"/>
    <w:link w:val="Kommentartext"/>
    <w:uiPriority w:val="99"/>
    <w:rsid w:val="00217357"/>
    <w:rPr>
      <w:lang w:val="en-US" w:eastAsia="en-US"/>
    </w:rPr>
  </w:style>
  <w:style w:type="paragraph" w:styleId="Kommentarthema">
    <w:name w:val="annotation subject"/>
    <w:basedOn w:val="Kommentartext"/>
    <w:next w:val="Kommentartext"/>
    <w:link w:val="KommentarthemaZchn"/>
    <w:uiPriority w:val="99"/>
    <w:semiHidden/>
    <w:unhideWhenUsed/>
    <w:rsid w:val="00217357"/>
    <w:rPr>
      <w:b/>
      <w:bCs/>
    </w:rPr>
  </w:style>
  <w:style w:type="character" w:customStyle="1" w:styleId="KommentarthemaZchn">
    <w:name w:val="Kommentarthema Zchn"/>
    <w:basedOn w:val="KommentartextZchn"/>
    <w:link w:val="Kommentarthema"/>
    <w:uiPriority w:val="99"/>
    <w:semiHidden/>
    <w:rsid w:val="00217357"/>
    <w:rPr>
      <w:b/>
      <w:bCs/>
      <w:lang w:val="en-US" w:eastAsia="en-US"/>
    </w:rPr>
  </w:style>
  <w:style w:type="character" w:styleId="Erwhnung">
    <w:name w:val="Mention"/>
    <w:basedOn w:val="Absatz-Standardschriftart"/>
    <w:uiPriority w:val="99"/>
    <w:unhideWhenUsed/>
    <w:rsid w:val="00217357"/>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59533072">
      <w:bodyDiv w:val="1"/>
      <w:marLeft w:val="0"/>
      <w:marRight w:val="0"/>
      <w:marTop w:val="0"/>
      <w:marBottom w:val="0"/>
      <w:divBdr>
        <w:top w:val="none" w:sz="0" w:space="0" w:color="auto"/>
        <w:left w:val="none" w:sz="0" w:space="0" w:color="auto"/>
        <w:bottom w:val="none" w:sz="0" w:space="0" w:color="auto"/>
        <w:right w:val="none" w:sz="0" w:space="0" w:color="auto"/>
      </w:divBdr>
    </w:div>
    <w:div w:id="489062165">
      <w:bodyDiv w:val="1"/>
      <w:marLeft w:val="0"/>
      <w:marRight w:val="0"/>
      <w:marTop w:val="0"/>
      <w:marBottom w:val="0"/>
      <w:divBdr>
        <w:top w:val="none" w:sz="0" w:space="0" w:color="auto"/>
        <w:left w:val="none" w:sz="0" w:space="0" w:color="auto"/>
        <w:bottom w:val="none" w:sz="0" w:space="0" w:color="auto"/>
        <w:right w:val="none" w:sz="0" w:space="0" w:color="auto"/>
      </w:divBdr>
    </w:div>
    <w:div w:id="13423948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5" Type="http://schemas.openxmlformats.org/officeDocument/2006/relationships/styles" Target="styles.xml"/><Relationship Id="rId15" Type="http://schemas.openxmlformats.org/officeDocument/2006/relationships/header" Target="header3.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3" Type="http://schemas.openxmlformats.org/officeDocument/2006/relationships/hyperlink" Target="http://www.dmgmori.com" TargetMode="External"/><Relationship Id="rId2" Type="http://schemas.openxmlformats.org/officeDocument/2006/relationships/image" Target="media/image3.jpeg"/><Relationship Id="rId1" Type="http://schemas.openxmlformats.org/officeDocument/2006/relationships/image" Target="media/image2.png"/><Relationship Id="rId4" Type="http://schemas.openxmlformats.org/officeDocument/2006/relationships/hyperlink" Target="http://www.dmgmori.com"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96CECEB90B5BDF48B84CD70361BF78E9" ma:contentTypeVersion="13" ma:contentTypeDescription="Ein neues Dokument erstellen." ma:contentTypeScope="" ma:versionID="e4353d1b233c2c97379d7cefd622e265">
  <xsd:schema xmlns:xsd="http://www.w3.org/2001/XMLSchema" xmlns:xs="http://www.w3.org/2001/XMLSchema" xmlns:p="http://schemas.microsoft.com/office/2006/metadata/properties" xmlns:ns2="2055c578-7ecc-4b39-b3b7-4922d3c0f183" xmlns:ns3="36c3a97b-2ee8-444e-a03c-8210fbab0b97" targetNamespace="http://schemas.microsoft.com/office/2006/metadata/properties" ma:root="true" ma:fieldsID="9f696c6e6ea70a17649e9f7fb63387f6" ns2:_="" ns3:_="">
    <xsd:import namespace="2055c578-7ecc-4b39-b3b7-4922d3c0f183"/>
    <xsd:import namespace="36c3a97b-2ee8-444e-a03c-8210fbab0b9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LengthInSecond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055c578-7ecc-4b39-b3b7-4922d3c0f18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ca45992-3557-4387-8b2e-87f0e8cb7b91"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6c3a97b-2ee8-444e-a03c-8210fbab0b9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7eab4b38-59fc-44ef-9396-9c7a4d825414}" ma:internalName="TaxCatchAll" ma:showField="CatchAllData" ma:web="36c3a97b-2ee8-444e-a03c-8210fbab0b9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2055c578-7ecc-4b39-b3b7-4922d3c0f183">
      <Terms xmlns="http://schemas.microsoft.com/office/infopath/2007/PartnerControls"/>
    </lcf76f155ced4ddcb4097134ff3c332f>
    <TaxCatchAll xmlns="36c3a97b-2ee8-444e-a03c-8210fbab0b97" xsi:nil="true"/>
  </documentManagement>
</p:properties>
</file>

<file path=customXml/itemProps1.xml><?xml version="1.0" encoding="utf-8"?>
<ds:datastoreItem xmlns:ds="http://schemas.openxmlformats.org/officeDocument/2006/customXml" ds:itemID="{EC878A20-130E-435D-B1F3-42F80C37AB78}">
  <ds:schemaRefs>
    <ds:schemaRef ds:uri="http://schemas.microsoft.com/sharepoint/v3/contenttype/forms"/>
  </ds:schemaRefs>
</ds:datastoreItem>
</file>

<file path=customXml/itemProps2.xml><?xml version="1.0" encoding="utf-8"?>
<ds:datastoreItem xmlns:ds="http://schemas.openxmlformats.org/officeDocument/2006/customXml" ds:itemID="{D2438A37-41AA-434D-BEE0-EFFA9B87FD7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055c578-7ecc-4b39-b3b7-4922d3c0f183"/>
    <ds:schemaRef ds:uri="36c3a97b-2ee8-444e-a03c-8210fbab0b9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BE17C0D-2EE7-45E4-9734-FC295EA50B5A}">
  <ds:schemaRefs>
    <ds:schemaRef ds:uri="http://schemas.microsoft.com/office/2006/metadata/properties"/>
    <ds:schemaRef ds:uri="http://schemas.microsoft.com/office/infopath/2007/PartnerControls"/>
    <ds:schemaRef ds:uri="2055c578-7ecc-4b39-b3b7-4922d3c0f183"/>
    <ds:schemaRef ds:uri="36c3a97b-2ee8-444e-a03c-8210fbab0b97"/>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997</Words>
  <Characters>5685</Characters>
  <Application>Microsoft Office Word</Application>
  <DocSecurity>0</DocSecurity>
  <Lines>47</Lines>
  <Paragraphs>13</Paragraphs>
  <ScaleCrop>false</ScaleCrop>
  <Company/>
  <LinksUpToDate>false</LinksUpToDate>
  <CharactersWithSpaces>6669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Manzenreiter, Eva</cp:lastModifiedBy>
  <cp:revision>44</cp:revision>
  <cp:lastPrinted>2025-09-15T10:09:00Z</cp:lastPrinted>
  <dcterms:created xsi:type="dcterms:W3CDTF">2025-07-17T17:06:00Z</dcterms:created>
  <dcterms:modified xsi:type="dcterms:W3CDTF">2025-09-15T10:12:00Z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0x01010096CECEB90B5BDF48B84CD70361BF78E9</vt:lpwstr>
  </property>
  <property fmtid="{D5CDD505-2E9C-101B-9397-08002B2CF9AE}" pid="3" name="MediaServiceImageTags">
    <vt:lpwstr/>
  </property>
  <property fmtid="{D5CDD505-2E9C-101B-9397-08002B2CF9AE}" pid="4" name="_ExtendedDescription">
    <vt:lpwstr/>
  </property>
  <property fmtid="{D5CDD505-2E9C-101B-9397-08002B2CF9AE}" pid="5" name="docLang">
    <vt:lpwstr>de</vt:lpwstr>
  </property>
</Properties>
</file>