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755B25CA" w:rsidR="001906A8" w:rsidRPr="00EC5A77" w:rsidRDefault="00010ED3" w:rsidP="00410979">
      <w:pPr>
        <w:spacing w:after="120" w:line="288" w:lineRule="auto"/>
        <w:jc w:val="both"/>
        <w:rPr>
          <w:rFonts w:ascii="Arial" w:hAnsi="Arial"/>
        </w:rPr>
      </w:pPr>
      <w:r>
        <w:rPr>
          <w:rFonts w:ascii="Arial" w:hAnsi="Arial"/>
        </w:rPr>
        <w:t>Wor</w:t>
      </w:r>
      <w:r w:rsidR="0027720C">
        <w:rPr>
          <w:rFonts w:ascii="Arial" w:hAnsi="Arial"/>
        </w:rPr>
        <w:t>l</w:t>
      </w:r>
      <w:r>
        <w:rPr>
          <w:rFonts w:ascii="Arial" w:hAnsi="Arial"/>
        </w:rPr>
        <w:t xml:space="preserve">d Premiere: </w:t>
      </w:r>
      <w:r w:rsidR="00F8568C" w:rsidRPr="00EC5A77">
        <w:rPr>
          <w:rFonts w:ascii="Arial" w:hAnsi="Arial"/>
        </w:rPr>
        <w:t>DMV 200</w:t>
      </w:r>
    </w:p>
    <w:p w14:paraId="78113682" w14:textId="77777777" w:rsidR="00812014" w:rsidRPr="00812014" w:rsidRDefault="00812014" w:rsidP="00410979">
      <w:pPr>
        <w:spacing w:before="240" w:after="120" w:line="288" w:lineRule="auto"/>
        <w:jc w:val="both"/>
        <w:rPr>
          <w:rFonts w:ascii="Arial" w:hAnsi="Arial"/>
          <w:b/>
          <w:bCs/>
          <w:color w:val="000000"/>
          <w:spacing w:val="2"/>
          <w:sz w:val="35"/>
          <w:szCs w:val="35"/>
        </w:rPr>
      </w:pPr>
      <w:r w:rsidRPr="00812014">
        <w:rPr>
          <w:rFonts w:ascii="Arial" w:hAnsi="Arial"/>
          <w:b/>
          <w:bCs/>
          <w:color w:val="000000"/>
          <w:spacing w:val="2"/>
          <w:sz w:val="35"/>
          <w:szCs w:val="35"/>
        </w:rPr>
        <w:t>Precise vertical milling up to 2,000 mm in length</w:t>
      </w:r>
    </w:p>
    <w:p w14:paraId="1DD533F8" w14:textId="77777777" w:rsidR="00F83350" w:rsidRPr="008779BF" w:rsidRDefault="001906A8" w:rsidP="00F83350">
      <w:pPr>
        <w:spacing w:after="120" w:line="276" w:lineRule="auto"/>
        <w:jc w:val="both"/>
        <w:rPr>
          <w:rFonts w:ascii="Arial" w:eastAsia="Calibri" w:hAnsi="Arial"/>
          <w:bCs/>
          <w:color w:val="000000" w:themeColor="text1"/>
        </w:rPr>
      </w:pPr>
      <w:r w:rsidRPr="58AC1F2D">
        <w:rPr>
          <w:rFonts w:ascii="Arial" w:eastAsia="Calibri" w:hAnsi="Arial"/>
          <w:b/>
          <w:bCs/>
          <w:color w:val="000000" w:themeColor="text1"/>
        </w:rPr>
        <w:t>M</w:t>
      </w:r>
      <w:r w:rsidR="00812014" w:rsidRPr="58AC1F2D">
        <w:rPr>
          <w:rFonts w:ascii="Arial" w:eastAsia="Calibri" w:hAnsi="Arial"/>
          <w:b/>
          <w:bCs/>
          <w:color w:val="000000" w:themeColor="text1"/>
        </w:rPr>
        <w:t>unich</w:t>
      </w:r>
      <w:r w:rsidRPr="58AC1F2D">
        <w:rPr>
          <w:rFonts w:ascii="Arial" w:eastAsia="Calibri" w:hAnsi="Arial"/>
          <w:b/>
          <w:bCs/>
          <w:color w:val="000000" w:themeColor="text1"/>
        </w:rPr>
        <w:t xml:space="preserve">. </w:t>
      </w:r>
      <w:r w:rsidR="00834124" w:rsidRPr="58AC1F2D">
        <w:rPr>
          <w:rFonts w:ascii="Arial" w:eastAsia="Calibri" w:hAnsi="Arial"/>
          <w:color w:val="000000" w:themeColor="text1"/>
        </w:rPr>
        <w:t xml:space="preserve">With the new DMV 200, DMG MORI is expanding its series for productive and high-precision 3-axis vertical machining. Its stable design, a rigid table with a loading weight of </w:t>
      </w:r>
      <w:r w:rsidR="004A5B66">
        <w:rPr>
          <w:rFonts w:ascii="Arial" w:eastAsia="Calibri" w:hAnsi="Arial"/>
          <w:color w:val="000000" w:themeColor="text1"/>
        </w:rPr>
        <w:br/>
      </w:r>
      <w:r w:rsidR="00834124" w:rsidRPr="58AC1F2D">
        <w:rPr>
          <w:rFonts w:ascii="Arial" w:eastAsia="Calibri" w:hAnsi="Arial"/>
          <w:color w:val="000000" w:themeColor="text1"/>
        </w:rPr>
        <w:t xml:space="preserve">3,000 kg and </w:t>
      </w:r>
      <w:proofErr w:type="gramStart"/>
      <w:r w:rsidR="00834124" w:rsidRPr="58AC1F2D">
        <w:rPr>
          <w:rFonts w:ascii="Arial" w:eastAsia="Calibri" w:hAnsi="Arial"/>
          <w:color w:val="000000" w:themeColor="text1"/>
        </w:rPr>
        <w:t>travels</w:t>
      </w:r>
      <w:proofErr w:type="gramEnd"/>
      <w:r w:rsidR="00834124" w:rsidRPr="58AC1F2D">
        <w:rPr>
          <w:rFonts w:ascii="Arial" w:eastAsia="Calibri" w:hAnsi="Arial"/>
          <w:color w:val="000000" w:themeColor="text1"/>
        </w:rPr>
        <w:t xml:space="preserve"> of 2,000 x 700 x 550 mm are primarily aimed at customers who also need to mill or drill large components quickly and precisely. Like its smaller sister models, the </w:t>
      </w:r>
      <w:r w:rsidR="004A5B66">
        <w:rPr>
          <w:rFonts w:ascii="Arial" w:eastAsia="Calibri" w:hAnsi="Arial"/>
          <w:color w:val="000000" w:themeColor="text1"/>
        </w:rPr>
        <w:br/>
      </w:r>
      <w:r w:rsidR="00834124" w:rsidRPr="58AC1F2D">
        <w:rPr>
          <w:rFonts w:ascii="Arial" w:eastAsia="Calibri" w:hAnsi="Arial"/>
          <w:color w:val="000000" w:themeColor="text1"/>
        </w:rPr>
        <w:t xml:space="preserve">DMV 200 is also geared towards the requirements of modern production in demanding industries such as </w:t>
      </w:r>
      <w:r w:rsidR="0BAC5447" w:rsidRPr="58AC1F2D">
        <w:rPr>
          <w:rFonts w:ascii="Arial" w:eastAsia="Calibri" w:hAnsi="Arial"/>
          <w:color w:val="000000" w:themeColor="text1"/>
        </w:rPr>
        <w:t>D</w:t>
      </w:r>
      <w:r w:rsidR="00834124" w:rsidRPr="58AC1F2D">
        <w:rPr>
          <w:rFonts w:ascii="Arial" w:eastAsia="Calibri" w:hAnsi="Arial"/>
          <w:color w:val="000000" w:themeColor="text1"/>
        </w:rPr>
        <w:t xml:space="preserve">ie &amp; </w:t>
      </w:r>
      <w:r w:rsidR="36A1E49B" w:rsidRPr="58AC1F2D">
        <w:rPr>
          <w:rFonts w:ascii="Arial" w:eastAsia="Calibri" w:hAnsi="Arial"/>
          <w:color w:val="000000" w:themeColor="text1"/>
        </w:rPr>
        <w:t>M</w:t>
      </w:r>
      <w:r w:rsidR="00834124" w:rsidRPr="58AC1F2D">
        <w:rPr>
          <w:rFonts w:ascii="Arial" w:eastAsia="Calibri" w:hAnsi="Arial"/>
          <w:color w:val="000000" w:themeColor="text1"/>
        </w:rPr>
        <w:t xml:space="preserve">old, </w:t>
      </w:r>
      <w:r w:rsidR="00AE1E07">
        <w:rPr>
          <w:rFonts w:ascii="Arial" w:eastAsia="Calibri" w:hAnsi="Arial"/>
          <w:color w:val="000000" w:themeColor="text1"/>
        </w:rPr>
        <w:t>Mobility</w:t>
      </w:r>
      <w:r w:rsidR="00834124" w:rsidRPr="58AC1F2D">
        <w:rPr>
          <w:rFonts w:ascii="Arial" w:eastAsia="Calibri" w:hAnsi="Arial"/>
          <w:color w:val="000000" w:themeColor="text1"/>
        </w:rPr>
        <w:t xml:space="preserve"> or </w:t>
      </w:r>
      <w:r w:rsidR="00592792">
        <w:rPr>
          <w:rFonts w:ascii="Arial" w:eastAsia="Calibri" w:hAnsi="Arial"/>
          <w:color w:val="000000" w:themeColor="text1"/>
        </w:rPr>
        <w:t>Aviation &amp; Space</w:t>
      </w:r>
      <w:r w:rsidR="00834124" w:rsidRPr="58AC1F2D">
        <w:rPr>
          <w:rFonts w:ascii="Arial" w:eastAsia="Calibri" w:hAnsi="Arial"/>
          <w:color w:val="000000" w:themeColor="text1"/>
        </w:rPr>
        <w:t xml:space="preserve">. A tool magazine with up to </w:t>
      </w:r>
      <w:r w:rsidR="004A5B66">
        <w:rPr>
          <w:rFonts w:ascii="Arial" w:eastAsia="Calibri" w:hAnsi="Arial"/>
          <w:color w:val="000000" w:themeColor="text1"/>
        </w:rPr>
        <w:br/>
      </w:r>
      <w:r w:rsidR="00834124" w:rsidRPr="58AC1F2D">
        <w:rPr>
          <w:rFonts w:ascii="Arial" w:eastAsia="Calibri" w:hAnsi="Arial"/>
          <w:color w:val="000000" w:themeColor="text1"/>
        </w:rPr>
        <w:t>120 pockets (SK40) - the standard version has 30 - and compatibility with pallet handling systems such as the PH Cell 300 guarantee cost-effective production with short non-productive times.</w:t>
      </w:r>
    </w:p>
    <w:p w14:paraId="2B8D8320" w14:textId="17377DF9" w:rsidR="00834124" w:rsidRPr="00EC5A77" w:rsidRDefault="00834124" w:rsidP="00F83350">
      <w:pPr>
        <w:spacing w:before="240" w:after="120" w:line="288" w:lineRule="auto"/>
        <w:jc w:val="both"/>
        <w:rPr>
          <w:rFonts w:ascii="Arial" w:eastAsia="Calibri" w:hAnsi="Arial"/>
          <w:b/>
          <w:color w:val="000000" w:themeColor="text1"/>
        </w:rPr>
      </w:pPr>
      <w:r w:rsidRPr="00EC5A77">
        <w:rPr>
          <w:rFonts w:ascii="Arial" w:eastAsia="Calibri" w:hAnsi="Arial"/>
          <w:b/>
          <w:color w:val="000000" w:themeColor="text1"/>
        </w:rPr>
        <w:t>Robust design for maximum dynamics</w:t>
      </w:r>
    </w:p>
    <w:p w14:paraId="3FD96A6D" w14:textId="472D6AC4" w:rsidR="00F83350" w:rsidRPr="008779BF" w:rsidRDefault="00834124" w:rsidP="00F83350">
      <w:pPr>
        <w:spacing w:after="120" w:line="276" w:lineRule="auto"/>
        <w:jc w:val="both"/>
        <w:rPr>
          <w:rFonts w:ascii="Arial" w:eastAsia="Calibri" w:hAnsi="Arial"/>
          <w:bCs/>
          <w:color w:val="000000" w:themeColor="text1"/>
        </w:rPr>
      </w:pPr>
      <w:r w:rsidRPr="00834124">
        <w:rPr>
          <w:rFonts w:ascii="Arial" w:eastAsia="Calibri" w:hAnsi="Arial"/>
          <w:bCs/>
          <w:color w:val="000000" w:themeColor="text1"/>
        </w:rPr>
        <w:t>The DMV 200 is based on a monolithic machine frame with solid cast parts and roller guide</w:t>
      </w:r>
      <w:r w:rsidR="00FF229B">
        <w:rPr>
          <w:rFonts w:ascii="Arial" w:eastAsia="Calibri" w:hAnsi="Arial"/>
          <w:bCs/>
          <w:color w:val="000000" w:themeColor="text1"/>
        </w:rPr>
        <w:t>ways</w:t>
      </w:r>
      <w:r w:rsidRPr="00834124">
        <w:rPr>
          <w:rFonts w:ascii="Arial" w:eastAsia="Calibri" w:hAnsi="Arial"/>
          <w:bCs/>
          <w:color w:val="000000" w:themeColor="text1"/>
        </w:rPr>
        <w:t xml:space="preserve"> in all axes. </w:t>
      </w:r>
      <w:r w:rsidR="00C36793" w:rsidRPr="00C36793">
        <w:rPr>
          <w:rFonts w:ascii="Arial" w:eastAsia="Calibri" w:hAnsi="Arial"/>
          <w:bCs/>
          <w:color w:val="000000" w:themeColor="text1"/>
        </w:rPr>
        <w:t>This means the machine remains stable and precise even in case of very demanding applications. The feed rate of 42 m/min secures high dynamic and reduced cycle times</w:t>
      </w:r>
      <w:r w:rsidRPr="00834124">
        <w:rPr>
          <w:rFonts w:ascii="Arial" w:eastAsia="Calibri" w:hAnsi="Arial"/>
          <w:bCs/>
          <w:color w:val="000000" w:themeColor="text1"/>
        </w:rPr>
        <w:t xml:space="preserve">. </w:t>
      </w:r>
      <w:r w:rsidR="00E16D5A" w:rsidRPr="00E16D5A">
        <w:rPr>
          <w:rFonts w:ascii="Arial" w:eastAsia="Calibri" w:hAnsi="Arial"/>
          <w:bCs/>
          <w:color w:val="000000" w:themeColor="text1"/>
        </w:rPr>
        <w:t xml:space="preserve">The available spindles ensure high performance machining: starting from </w:t>
      </w:r>
      <w:proofErr w:type="spellStart"/>
      <w:r w:rsidR="00E16D5A" w:rsidRPr="00E16D5A">
        <w:rPr>
          <w:rFonts w:ascii="Arial" w:eastAsia="Calibri" w:hAnsi="Arial"/>
          <w:bCs/>
          <w:color w:val="000000" w:themeColor="text1"/>
        </w:rPr>
        <w:t>inlineMASTER</w:t>
      </w:r>
      <w:proofErr w:type="spellEnd"/>
      <w:r w:rsidR="00E16D5A" w:rsidRPr="00E16D5A">
        <w:rPr>
          <w:rFonts w:ascii="Arial" w:eastAsia="Calibri" w:hAnsi="Arial"/>
          <w:bCs/>
          <w:color w:val="000000" w:themeColor="text1"/>
        </w:rPr>
        <w:t xml:space="preserve"> 15,000 rpm, through </w:t>
      </w:r>
      <w:proofErr w:type="spellStart"/>
      <w:r w:rsidR="00E16D5A" w:rsidRPr="00E16D5A">
        <w:rPr>
          <w:rFonts w:ascii="Arial" w:eastAsia="Calibri" w:hAnsi="Arial"/>
          <w:bCs/>
          <w:color w:val="000000" w:themeColor="text1"/>
        </w:rPr>
        <w:t>speedMASTER</w:t>
      </w:r>
      <w:proofErr w:type="spellEnd"/>
      <w:r w:rsidR="00E16D5A" w:rsidRPr="00E16D5A">
        <w:rPr>
          <w:rFonts w:ascii="Arial" w:eastAsia="Calibri" w:hAnsi="Arial"/>
          <w:bCs/>
          <w:color w:val="000000" w:themeColor="text1"/>
        </w:rPr>
        <w:t xml:space="preserve"> 15.000 rpm HT</w:t>
      </w:r>
      <w:r w:rsidR="00B1293E">
        <w:rPr>
          <w:rFonts w:ascii="Arial" w:eastAsia="Calibri" w:hAnsi="Arial"/>
          <w:bCs/>
          <w:color w:val="000000" w:themeColor="text1"/>
        </w:rPr>
        <w:t xml:space="preserve"> (high torque)</w:t>
      </w:r>
      <w:r w:rsidR="00E16D5A" w:rsidRPr="00E16D5A">
        <w:rPr>
          <w:rFonts w:ascii="Arial" w:eastAsia="Calibri" w:hAnsi="Arial"/>
          <w:bCs/>
          <w:color w:val="000000" w:themeColor="text1"/>
        </w:rPr>
        <w:t xml:space="preserve"> &amp; </w:t>
      </w:r>
      <w:r w:rsidR="00C313E0">
        <w:rPr>
          <w:rFonts w:ascii="Arial" w:eastAsia="Calibri" w:hAnsi="Arial"/>
          <w:bCs/>
          <w:color w:val="000000" w:themeColor="text1"/>
        </w:rPr>
        <w:br/>
      </w:r>
      <w:r w:rsidR="00E16D5A" w:rsidRPr="00E16D5A">
        <w:rPr>
          <w:rFonts w:ascii="Arial" w:eastAsia="Calibri" w:hAnsi="Arial"/>
          <w:bCs/>
          <w:color w:val="000000" w:themeColor="text1"/>
        </w:rPr>
        <w:t xml:space="preserve">20.000 rpm, ending at </w:t>
      </w:r>
      <w:proofErr w:type="spellStart"/>
      <w:r w:rsidR="00E16D5A" w:rsidRPr="00E16D5A">
        <w:rPr>
          <w:rFonts w:ascii="Arial" w:eastAsia="Calibri" w:hAnsi="Arial"/>
          <w:bCs/>
          <w:color w:val="000000" w:themeColor="text1"/>
        </w:rPr>
        <w:t>powerMASTER</w:t>
      </w:r>
      <w:proofErr w:type="spellEnd"/>
      <w:r w:rsidR="00E16D5A" w:rsidRPr="00E16D5A">
        <w:rPr>
          <w:rFonts w:ascii="Arial" w:eastAsia="Calibri" w:hAnsi="Arial"/>
          <w:bCs/>
          <w:color w:val="000000" w:themeColor="text1"/>
        </w:rPr>
        <w:t xml:space="preserve"> which has a torque of 430 Nm for heavy-duty machining of titanium alloys or stainless steel- all with BIG PLUS interface and 36 months warranty</w:t>
      </w:r>
      <w:r w:rsidR="00FF063F">
        <w:rPr>
          <w:rFonts w:ascii="Arial" w:eastAsia="Calibri" w:hAnsi="Arial"/>
          <w:bCs/>
          <w:color w:val="000000" w:themeColor="text1"/>
        </w:rPr>
        <w:t>.</w:t>
      </w:r>
      <w:r w:rsidR="00E16D5A" w:rsidRPr="00E16D5A">
        <w:rPr>
          <w:rFonts w:ascii="Arial" w:eastAsia="Calibri" w:hAnsi="Arial"/>
          <w:bCs/>
          <w:color w:val="000000" w:themeColor="text1"/>
        </w:rPr>
        <w:t xml:space="preserve"> </w:t>
      </w:r>
      <w:r w:rsidRPr="00834124">
        <w:rPr>
          <w:rFonts w:ascii="Arial" w:eastAsia="Calibri" w:hAnsi="Arial"/>
          <w:bCs/>
          <w:color w:val="000000" w:themeColor="text1"/>
        </w:rPr>
        <w:t xml:space="preserve">Thanks to direct drives in </w:t>
      </w:r>
      <w:r w:rsidR="00726295">
        <w:rPr>
          <w:rFonts w:ascii="Arial" w:eastAsia="Calibri" w:hAnsi="Arial"/>
          <w:bCs/>
          <w:color w:val="000000" w:themeColor="text1"/>
        </w:rPr>
        <w:t>all</w:t>
      </w:r>
      <w:r w:rsidRPr="00834124">
        <w:rPr>
          <w:rFonts w:ascii="Arial" w:eastAsia="Calibri" w:hAnsi="Arial"/>
          <w:bCs/>
          <w:color w:val="000000" w:themeColor="text1"/>
        </w:rPr>
        <w:t xml:space="preserve"> axes, direct path measuring systems and a positioning accuracy of 4 µm, the DMV 200 delivers consistently precise results. </w:t>
      </w:r>
      <w:r w:rsidR="00D129F1">
        <w:rPr>
          <w:rFonts w:ascii="Arial" w:eastAsia="Calibri" w:hAnsi="Arial"/>
          <w:bCs/>
          <w:color w:val="000000" w:themeColor="text1"/>
        </w:rPr>
        <w:t>An a</w:t>
      </w:r>
      <w:r w:rsidR="00726295" w:rsidRPr="00726295">
        <w:rPr>
          <w:rFonts w:ascii="Arial" w:eastAsia="Calibri" w:hAnsi="Arial"/>
          <w:bCs/>
          <w:color w:val="000000" w:themeColor="text1"/>
        </w:rPr>
        <w:t>ctive cooling system for selected component</w:t>
      </w:r>
      <w:r w:rsidR="00DB2830">
        <w:rPr>
          <w:rFonts w:ascii="Arial" w:eastAsia="Calibri" w:hAnsi="Arial"/>
          <w:bCs/>
          <w:color w:val="000000" w:themeColor="text1"/>
        </w:rPr>
        <w:t>s</w:t>
      </w:r>
      <w:r w:rsidR="00726295">
        <w:rPr>
          <w:rFonts w:ascii="Arial" w:eastAsia="Calibri" w:hAnsi="Arial"/>
          <w:bCs/>
          <w:color w:val="000000" w:themeColor="text1"/>
        </w:rPr>
        <w:t xml:space="preserve"> </w:t>
      </w:r>
      <w:r w:rsidRPr="00834124">
        <w:rPr>
          <w:rFonts w:ascii="Arial" w:eastAsia="Calibri" w:hAnsi="Arial"/>
          <w:bCs/>
          <w:color w:val="000000" w:themeColor="text1"/>
        </w:rPr>
        <w:t>ensures thermal stability even with long running times.</w:t>
      </w:r>
    </w:p>
    <w:p w14:paraId="3512CC94" w14:textId="12D49D36" w:rsidR="00461D31" w:rsidRPr="00834124" w:rsidRDefault="00B57A47" w:rsidP="00461D31">
      <w:pPr>
        <w:spacing w:before="240" w:after="120" w:line="276" w:lineRule="auto"/>
        <w:jc w:val="both"/>
        <w:rPr>
          <w:rFonts w:ascii="Arial" w:eastAsia="Calibri" w:hAnsi="Arial"/>
          <w:b/>
          <w:color w:val="000000" w:themeColor="text1"/>
        </w:rPr>
      </w:pPr>
      <w:r w:rsidRPr="00834124">
        <w:rPr>
          <w:rFonts w:ascii="Arial" w:eastAsia="Calibri" w:hAnsi="Arial"/>
          <w:b/>
          <w:color w:val="000000" w:themeColor="text1"/>
        </w:rPr>
        <w:t>Machining Transformation (MX)</w:t>
      </w:r>
      <w:r w:rsidR="00736C55" w:rsidRPr="00834124">
        <w:rPr>
          <w:rFonts w:ascii="Arial" w:eastAsia="Calibri" w:hAnsi="Arial"/>
          <w:b/>
          <w:color w:val="000000" w:themeColor="text1"/>
        </w:rPr>
        <w:t xml:space="preserve">: </w:t>
      </w:r>
      <w:r w:rsidR="00834124" w:rsidRPr="00834124">
        <w:rPr>
          <w:rFonts w:ascii="Arial" w:eastAsia="Calibri" w:hAnsi="Arial"/>
          <w:b/>
          <w:color w:val="000000" w:themeColor="text1"/>
        </w:rPr>
        <w:t xml:space="preserve">Networked, automated and </w:t>
      </w:r>
      <w:proofErr w:type="gramStart"/>
      <w:r w:rsidR="00834124" w:rsidRPr="00834124">
        <w:rPr>
          <w:rFonts w:ascii="Arial" w:eastAsia="Calibri" w:hAnsi="Arial"/>
          <w:b/>
          <w:color w:val="000000" w:themeColor="text1"/>
        </w:rPr>
        <w:t>future-proof</w:t>
      </w:r>
      <w:proofErr w:type="gramEnd"/>
    </w:p>
    <w:p w14:paraId="0B4C4269" w14:textId="3465B0B4" w:rsidR="00F83350" w:rsidRPr="008779BF" w:rsidRDefault="00B67A53" w:rsidP="00F83350">
      <w:pPr>
        <w:spacing w:after="120" w:line="276" w:lineRule="auto"/>
        <w:jc w:val="both"/>
        <w:rPr>
          <w:rFonts w:ascii="Arial" w:eastAsia="Calibri" w:hAnsi="Arial"/>
          <w:bCs/>
          <w:color w:val="000000" w:themeColor="text1"/>
        </w:rPr>
      </w:pPr>
      <w:r w:rsidRPr="58AC1F2D">
        <w:rPr>
          <w:rFonts w:ascii="Arial" w:eastAsia="Calibri" w:hAnsi="Arial"/>
          <w:color w:val="000000" w:themeColor="text1"/>
        </w:rPr>
        <w:t xml:space="preserve">DMG MORI has developed </w:t>
      </w:r>
      <w:proofErr w:type="gramStart"/>
      <w:r w:rsidRPr="58AC1F2D">
        <w:rPr>
          <w:rFonts w:ascii="Arial" w:eastAsia="Calibri" w:hAnsi="Arial"/>
          <w:color w:val="000000" w:themeColor="text1"/>
        </w:rPr>
        <w:t>the DMV</w:t>
      </w:r>
      <w:proofErr w:type="gramEnd"/>
      <w:r w:rsidRPr="58AC1F2D">
        <w:rPr>
          <w:rFonts w:ascii="Arial" w:eastAsia="Calibri" w:hAnsi="Arial"/>
          <w:color w:val="000000" w:themeColor="text1"/>
        </w:rPr>
        <w:t xml:space="preserve"> 200 with the pillars of Machining Transformation (MX) in mind to support any future-proof production. CELOS X on the intuitively operated, </w:t>
      </w:r>
      <w:r w:rsidR="00C313E0">
        <w:rPr>
          <w:rFonts w:ascii="Arial" w:eastAsia="Calibri" w:hAnsi="Arial"/>
          <w:color w:val="000000" w:themeColor="text1"/>
        </w:rPr>
        <w:br/>
      </w:r>
      <w:r w:rsidRPr="58AC1F2D">
        <w:rPr>
          <w:rFonts w:ascii="Arial" w:eastAsia="Calibri" w:hAnsi="Arial"/>
          <w:color w:val="000000" w:themeColor="text1"/>
        </w:rPr>
        <w:t xml:space="preserve">24" </w:t>
      </w:r>
      <w:proofErr w:type="spellStart"/>
      <w:r w:rsidRPr="58AC1F2D">
        <w:rPr>
          <w:rFonts w:ascii="Arial" w:eastAsia="Calibri" w:hAnsi="Arial"/>
          <w:color w:val="000000" w:themeColor="text1"/>
        </w:rPr>
        <w:t>ERGOline</w:t>
      </w:r>
      <w:proofErr w:type="spellEnd"/>
      <w:r w:rsidRPr="58AC1F2D">
        <w:rPr>
          <w:rFonts w:ascii="Arial" w:eastAsia="Calibri" w:hAnsi="Arial"/>
          <w:color w:val="000000" w:themeColor="text1"/>
        </w:rPr>
        <w:t xml:space="preserve"> X panel creates the perfect basis for networked and digitalized production. It allows seamless integration into company networks, which further advances </w:t>
      </w:r>
      <w:proofErr w:type="gramStart"/>
      <w:r w:rsidRPr="58AC1F2D">
        <w:rPr>
          <w:rFonts w:ascii="Arial" w:eastAsia="Calibri" w:hAnsi="Arial"/>
          <w:color w:val="000000" w:themeColor="text1"/>
        </w:rPr>
        <w:t xml:space="preserve">the </w:t>
      </w:r>
      <w:r w:rsidR="51952060" w:rsidRPr="58AC1F2D">
        <w:rPr>
          <w:rFonts w:ascii="Arial" w:eastAsia="Calibri" w:hAnsi="Arial"/>
          <w:color w:val="000000" w:themeColor="text1"/>
        </w:rPr>
        <w:t>D</w:t>
      </w:r>
      <w:r w:rsidRPr="58AC1F2D">
        <w:rPr>
          <w:rFonts w:ascii="Arial" w:eastAsia="Calibri" w:hAnsi="Arial"/>
          <w:color w:val="000000" w:themeColor="text1"/>
        </w:rPr>
        <w:t>igital</w:t>
      </w:r>
      <w:proofErr w:type="gramEnd"/>
      <w:r w:rsidRPr="58AC1F2D">
        <w:rPr>
          <w:rFonts w:ascii="Arial" w:eastAsia="Calibri" w:hAnsi="Arial"/>
          <w:color w:val="000000" w:themeColor="text1"/>
        </w:rPr>
        <w:t xml:space="preserve"> </w:t>
      </w:r>
      <w:r w:rsidR="402764AF" w:rsidRPr="58AC1F2D">
        <w:rPr>
          <w:rFonts w:ascii="Arial" w:eastAsia="Calibri" w:hAnsi="Arial"/>
          <w:color w:val="000000" w:themeColor="text1"/>
        </w:rPr>
        <w:t>T</w:t>
      </w:r>
      <w:r w:rsidRPr="58AC1F2D">
        <w:rPr>
          <w:rFonts w:ascii="Arial" w:eastAsia="Calibri" w:hAnsi="Arial"/>
          <w:color w:val="000000" w:themeColor="text1"/>
        </w:rPr>
        <w:t xml:space="preserve">ransformation. Programming with graphical display is supported by either a </w:t>
      </w:r>
      <w:r w:rsidR="005C371D">
        <w:rPr>
          <w:rFonts w:ascii="Arial" w:eastAsia="Calibri" w:hAnsi="Arial"/>
          <w:color w:val="000000" w:themeColor="text1"/>
        </w:rPr>
        <w:t xml:space="preserve">Siemens </w:t>
      </w:r>
      <w:r w:rsidRPr="58AC1F2D">
        <w:rPr>
          <w:rFonts w:ascii="Arial" w:eastAsia="Calibri" w:hAnsi="Arial"/>
          <w:color w:val="000000" w:themeColor="text1"/>
        </w:rPr>
        <w:t>S</w:t>
      </w:r>
      <w:r w:rsidR="005C371D">
        <w:rPr>
          <w:rFonts w:ascii="Arial" w:eastAsia="Calibri" w:hAnsi="Arial"/>
          <w:color w:val="000000" w:themeColor="text1"/>
        </w:rPr>
        <w:t>INUMERIK</w:t>
      </w:r>
      <w:r w:rsidR="00B31498">
        <w:rPr>
          <w:rFonts w:ascii="Arial" w:eastAsia="Calibri" w:hAnsi="Arial"/>
          <w:color w:val="000000" w:themeColor="text1"/>
        </w:rPr>
        <w:t xml:space="preserve"> </w:t>
      </w:r>
      <w:r w:rsidRPr="58AC1F2D">
        <w:rPr>
          <w:rFonts w:ascii="Arial" w:eastAsia="Calibri" w:hAnsi="Arial"/>
          <w:color w:val="000000" w:themeColor="text1"/>
        </w:rPr>
        <w:t>ONE or a HEIDENHAIN TNC 7. DMG MORI implements autonomous production by connecting the PH 150</w:t>
      </w:r>
      <w:r w:rsidR="1AB5BDAF" w:rsidRPr="58AC1F2D">
        <w:rPr>
          <w:rFonts w:ascii="Arial" w:eastAsia="Calibri" w:hAnsi="Arial"/>
          <w:color w:val="000000" w:themeColor="text1"/>
        </w:rPr>
        <w:t>,</w:t>
      </w:r>
      <w:r w:rsidRPr="58AC1F2D">
        <w:rPr>
          <w:rFonts w:ascii="Arial" w:eastAsia="Calibri" w:hAnsi="Arial"/>
          <w:color w:val="000000" w:themeColor="text1"/>
        </w:rPr>
        <w:t xml:space="preserve"> PH Cell 300 pallet handling system or - in combination with another machining center - the PH Cell Twin. Workpiece handling is performed by </w:t>
      </w:r>
      <w:proofErr w:type="gramStart"/>
      <w:r w:rsidRPr="58AC1F2D">
        <w:rPr>
          <w:rFonts w:ascii="Arial" w:eastAsia="Calibri" w:hAnsi="Arial"/>
          <w:color w:val="000000" w:themeColor="text1"/>
        </w:rPr>
        <w:t>a Robo2Go</w:t>
      </w:r>
      <w:proofErr w:type="gramEnd"/>
      <w:r w:rsidRPr="58AC1F2D">
        <w:rPr>
          <w:rFonts w:ascii="Arial" w:eastAsia="Calibri" w:hAnsi="Arial"/>
          <w:color w:val="000000" w:themeColor="text1"/>
        </w:rPr>
        <w:t xml:space="preserve"> Milling if required. The DMV 200 can also be easily integrated into a </w:t>
      </w:r>
      <w:r w:rsidR="0D31E964" w:rsidRPr="58AC1F2D">
        <w:rPr>
          <w:rFonts w:ascii="Arial" w:eastAsia="Calibri" w:hAnsi="Arial"/>
          <w:color w:val="000000" w:themeColor="text1"/>
        </w:rPr>
        <w:t xml:space="preserve">shop </w:t>
      </w:r>
      <w:r w:rsidRPr="58AC1F2D">
        <w:rPr>
          <w:rFonts w:ascii="Arial" w:eastAsia="Calibri" w:hAnsi="Arial"/>
          <w:color w:val="000000" w:themeColor="text1"/>
        </w:rPr>
        <w:t xml:space="preserve">floor with driverless transport systems such as the PH-AMR 750. Thanks to its energy-saving and resource-conserving operation, the DMV 200 also promotes </w:t>
      </w:r>
      <w:proofErr w:type="gramStart"/>
      <w:r w:rsidRPr="58AC1F2D">
        <w:rPr>
          <w:rFonts w:ascii="Arial" w:eastAsia="Calibri" w:hAnsi="Arial"/>
          <w:color w:val="000000" w:themeColor="text1"/>
        </w:rPr>
        <w:t xml:space="preserve">the </w:t>
      </w:r>
      <w:r w:rsidR="5686A225" w:rsidRPr="58AC1F2D">
        <w:rPr>
          <w:rFonts w:ascii="Arial" w:eastAsia="Calibri" w:hAnsi="Arial"/>
          <w:color w:val="000000" w:themeColor="text1"/>
        </w:rPr>
        <w:t>G</w:t>
      </w:r>
      <w:r w:rsidRPr="58AC1F2D">
        <w:rPr>
          <w:rFonts w:ascii="Arial" w:eastAsia="Calibri" w:hAnsi="Arial"/>
          <w:color w:val="000000" w:themeColor="text1"/>
        </w:rPr>
        <w:t>reen</w:t>
      </w:r>
      <w:proofErr w:type="gramEnd"/>
      <w:r w:rsidRPr="58AC1F2D">
        <w:rPr>
          <w:rFonts w:ascii="Arial" w:eastAsia="Calibri" w:hAnsi="Arial"/>
          <w:color w:val="000000" w:themeColor="text1"/>
        </w:rPr>
        <w:t xml:space="preserve"> </w:t>
      </w:r>
      <w:r w:rsidR="38A59120" w:rsidRPr="58AC1F2D">
        <w:rPr>
          <w:rFonts w:ascii="Arial" w:eastAsia="Calibri" w:hAnsi="Arial"/>
          <w:color w:val="000000" w:themeColor="text1"/>
        </w:rPr>
        <w:t>T</w:t>
      </w:r>
      <w:r w:rsidRPr="58AC1F2D">
        <w:rPr>
          <w:rFonts w:ascii="Arial" w:eastAsia="Calibri" w:hAnsi="Arial"/>
          <w:color w:val="000000" w:themeColor="text1"/>
        </w:rPr>
        <w:t>ransformation (GX) towards more sustainable production.</w:t>
      </w:r>
    </w:p>
    <w:p w14:paraId="207DB7F4" w14:textId="079C6C65" w:rsidR="00194AEB" w:rsidRPr="00B67A53" w:rsidRDefault="00194AEB" w:rsidP="00194AEB">
      <w:pPr>
        <w:spacing w:after="120" w:line="276" w:lineRule="auto"/>
        <w:jc w:val="both"/>
        <w:rPr>
          <w:rFonts w:ascii="Arial" w:eastAsia="Calibri" w:hAnsi="Arial"/>
          <w:bCs/>
          <w:color w:val="000000" w:themeColor="text1"/>
        </w:rPr>
      </w:pPr>
    </w:p>
    <w:p w14:paraId="4711BE00" w14:textId="7C8C5A9E" w:rsidR="001906A8" w:rsidRPr="00410979" w:rsidRDefault="00C74C81" w:rsidP="00410979">
      <w:pPr>
        <w:autoSpaceDE w:val="0"/>
        <w:autoSpaceDN w:val="0"/>
        <w:adjustRightInd w:val="0"/>
        <w:spacing w:after="40" w:line="288" w:lineRule="auto"/>
        <w:ind w:right="-7"/>
        <w:jc w:val="both"/>
        <w:rPr>
          <w:rFonts w:ascii="Arial" w:eastAsia="MS Mincho" w:hAnsi="Arial"/>
          <w:b/>
          <w:color w:val="000000"/>
          <w:sz w:val="16"/>
          <w:szCs w:val="18"/>
          <w:lang w:val="de-DE"/>
        </w:rPr>
      </w:pPr>
      <w:r w:rsidRPr="001E5553">
        <w:rPr>
          <w:rFonts w:ascii="Arial" w:eastAsia="MS Mincho" w:hAnsi="Arial"/>
          <w:b/>
          <w:noProof/>
          <w:color w:val="000000"/>
          <w:sz w:val="16"/>
          <w:szCs w:val="18"/>
        </w:rPr>
        <w:lastRenderedPageBreak/>
        <w:drawing>
          <wp:inline distT="0" distB="0" distL="0" distR="0" wp14:anchorId="2F7D6825" wp14:editId="791119F2">
            <wp:extent cx="4778734" cy="3368081"/>
            <wp:effectExtent l="0" t="0" r="3175" b="3810"/>
            <wp:docPr id="379925292" name="Grafik 1" descr="Ein Bild, da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925292" name="Grafik 1" descr="Ein Bild, das Design enthält.&#10;&#10;KI-generierte Inhalte können fehlerhaft sein."/>
                    <pic:cNvPicPr/>
                  </pic:nvPicPr>
                  <pic:blipFill>
                    <a:blip r:embed="rId10"/>
                    <a:stretch>
                      <a:fillRect/>
                    </a:stretch>
                  </pic:blipFill>
                  <pic:spPr>
                    <a:xfrm>
                      <a:off x="0" y="0"/>
                      <a:ext cx="4789953" cy="3375988"/>
                    </a:xfrm>
                    <a:prstGeom prst="rect">
                      <a:avLst/>
                    </a:prstGeom>
                  </pic:spPr>
                </pic:pic>
              </a:graphicData>
            </a:graphic>
          </wp:inline>
        </w:drawing>
      </w:r>
    </w:p>
    <w:p w14:paraId="0EB2D042" w14:textId="6F2AB18C" w:rsidR="001906A8" w:rsidRPr="005C371D" w:rsidRDefault="00B67A53" w:rsidP="58AC1F2D">
      <w:pPr>
        <w:autoSpaceDE w:val="0"/>
        <w:autoSpaceDN w:val="0"/>
        <w:adjustRightInd w:val="0"/>
        <w:spacing w:after="40" w:line="288" w:lineRule="auto"/>
        <w:ind w:right="1835"/>
        <w:rPr>
          <w:rFonts w:ascii="Arial" w:eastAsia="MS Mincho" w:hAnsi="Arial"/>
          <w:b/>
          <w:bCs/>
          <w:color w:val="000000"/>
          <w:sz w:val="16"/>
          <w:szCs w:val="16"/>
        </w:rPr>
      </w:pPr>
      <w:r w:rsidRPr="005C371D">
        <w:rPr>
          <w:rFonts w:ascii="Arial" w:eastAsia="MS Mincho" w:hAnsi="Arial"/>
          <w:color w:val="000000" w:themeColor="text1"/>
          <w:sz w:val="16"/>
          <w:szCs w:val="16"/>
        </w:rPr>
        <w:t xml:space="preserve">With travels of 2,000 x 700 x 550 mm, the DMV 200 enables vertical milling and drilling of large components for </w:t>
      </w:r>
      <w:r w:rsidR="405426A9" w:rsidRPr="005C371D">
        <w:rPr>
          <w:rFonts w:ascii="Arial" w:eastAsia="MS Mincho" w:hAnsi="Arial"/>
          <w:color w:val="000000" w:themeColor="text1"/>
          <w:sz w:val="16"/>
          <w:szCs w:val="16"/>
        </w:rPr>
        <w:t>D</w:t>
      </w:r>
      <w:r w:rsidRPr="005C371D">
        <w:rPr>
          <w:rFonts w:ascii="Arial" w:eastAsia="MS Mincho" w:hAnsi="Arial"/>
          <w:color w:val="000000" w:themeColor="text1"/>
          <w:sz w:val="16"/>
          <w:szCs w:val="16"/>
        </w:rPr>
        <w:t xml:space="preserve">ie &amp; </w:t>
      </w:r>
      <w:r w:rsidR="7DA4D66C" w:rsidRPr="005C371D">
        <w:rPr>
          <w:rFonts w:ascii="Arial" w:eastAsia="MS Mincho" w:hAnsi="Arial"/>
          <w:color w:val="000000" w:themeColor="text1"/>
          <w:sz w:val="16"/>
          <w:szCs w:val="16"/>
        </w:rPr>
        <w:t>M</w:t>
      </w:r>
      <w:r w:rsidRPr="005C371D">
        <w:rPr>
          <w:rFonts w:ascii="Arial" w:eastAsia="MS Mincho" w:hAnsi="Arial"/>
          <w:color w:val="000000" w:themeColor="text1"/>
          <w:sz w:val="16"/>
          <w:szCs w:val="16"/>
        </w:rPr>
        <w:t xml:space="preserve">old, </w:t>
      </w:r>
      <w:r w:rsidR="005C371D" w:rsidRPr="005C371D">
        <w:rPr>
          <w:rFonts w:ascii="Arial" w:eastAsia="MS Mincho" w:hAnsi="Arial"/>
          <w:color w:val="000000" w:themeColor="text1"/>
          <w:sz w:val="16"/>
          <w:szCs w:val="16"/>
        </w:rPr>
        <w:t>Mobility</w:t>
      </w:r>
      <w:r w:rsidRPr="005C371D">
        <w:rPr>
          <w:rFonts w:ascii="Arial" w:eastAsia="MS Mincho" w:hAnsi="Arial"/>
          <w:color w:val="000000" w:themeColor="text1"/>
          <w:sz w:val="16"/>
          <w:szCs w:val="16"/>
        </w:rPr>
        <w:t xml:space="preserve"> and other demanding industries.</w:t>
      </w:r>
    </w:p>
    <w:p w14:paraId="7CEC27AC" w14:textId="77777777" w:rsidR="001906A8" w:rsidRDefault="001906A8" w:rsidP="00410979">
      <w:pPr>
        <w:autoSpaceDE w:val="0"/>
        <w:autoSpaceDN w:val="0"/>
        <w:adjustRightInd w:val="0"/>
        <w:spacing w:after="40" w:line="288" w:lineRule="auto"/>
        <w:ind w:right="-7"/>
        <w:jc w:val="both"/>
        <w:rPr>
          <w:rFonts w:ascii="Arial" w:eastAsia="MS Mincho" w:hAnsi="Arial"/>
          <w:b/>
          <w:color w:val="000000"/>
          <w:sz w:val="16"/>
          <w:szCs w:val="18"/>
        </w:rPr>
      </w:pPr>
    </w:p>
    <w:p w14:paraId="543B8051" w14:textId="77777777" w:rsidR="001E79F8" w:rsidRDefault="001E79F8" w:rsidP="00410979">
      <w:pPr>
        <w:autoSpaceDE w:val="0"/>
        <w:autoSpaceDN w:val="0"/>
        <w:adjustRightInd w:val="0"/>
        <w:spacing w:after="40" w:line="288" w:lineRule="auto"/>
        <w:ind w:right="-7"/>
        <w:jc w:val="both"/>
        <w:rPr>
          <w:rFonts w:ascii="Arial" w:eastAsia="MS Mincho" w:hAnsi="Arial"/>
          <w:b/>
          <w:color w:val="000000"/>
          <w:sz w:val="16"/>
          <w:szCs w:val="18"/>
        </w:rPr>
      </w:pPr>
    </w:p>
    <w:p w14:paraId="394C673D" w14:textId="5C04B80E" w:rsidR="00623353" w:rsidRDefault="00623353">
      <w:pPr>
        <w:spacing w:after="0" w:line="240" w:lineRule="auto"/>
        <w:rPr>
          <w:rFonts w:ascii="Arial" w:eastAsia="MS Mincho" w:hAnsi="Arial"/>
          <w:b/>
          <w:color w:val="000000"/>
          <w:sz w:val="16"/>
          <w:szCs w:val="18"/>
        </w:rPr>
      </w:pPr>
      <w:r>
        <w:rPr>
          <w:rFonts w:ascii="Arial" w:eastAsia="MS Mincho" w:hAnsi="Arial"/>
          <w:b/>
          <w:color w:val="000000"/>
          <w:sz w:val="16"/>
          <w:szCs w:val="18"/>
        </w:rPr>
        <w:br w:type="page"/>
      </w:r>
    </w:p>
    <w:p w14:paraId="7951DB05" w14:textId="77919FC8" w:rsidR="001E79F8" w:rsidRPr="00B26E1A" w:rsidRDefault="00B26E1A" w:rsidP="001E79F8">
      <w:pPr>
        <w:autoSpaceDE w:val="0"/>
        <w:autoSpaceDN w:val="0"/>
        <w:adjustRightInd w:val="0"/>
        <w:spacing w:after="40" w:line="288" w:lineRule="auto"/>
        <w:ind w:right="1835"/>
        <w:rPr>
          <w:rFonts w:ascii="Arial" w:eastAsia="MS Mincho" w:hAnsi="Arial"/>
          <w:color w:val="000000" w:themeColor="text1"/>
          <w:sz w:val="16"/>
          <w:szCs w:val="16"/>
        </w:rPr>
      </w:pPr>
      <w:r w:rsidRPr="00B26E1A">
        <w:rPr>
          <w:rFonts w:ascii="Arial" w:eastAsia="MS Mincho" w:hAnsi="Arial"/>
          <w:noProof/>
          <w:color w:val="000000" w:themeColor="text1"/>
          <w:sz w:val="16"/>
          <w:szCs w:val="16"/>
        </w:rPr>
        <w:lastRenderedPageBreak/>
        <w:drawing>
          <wp:inline distT="0" distB="0" distL="0" distR="0" wp14:anchorId="28ABC321" wp14:editId="5B4473E7">
            <wp:extent cx="4818491" cy="3397164"/>
            <wp:effectExtent l="0" t="0" r="1270" b="0"/>
            <wp:docPr id="110669373" name="Grafik 1" descr="Ein Bild, das Im Haus, Haushaltsgerät, Waschbecken, Küchen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69373" name="Grafik 1" descr="Ein Bild, das Im Haus, Haushaltsgerät, Waschbecken, Küchengerät enthält.&#10;&#10;KI-generierte Inhalte können fehlerhaft sein."/>
                    <pic:cNvPicPr/>
                  </pic:nvPicPr>
                  <pic:blipFill>
                    <a:blip r:embed="rId11"/>
                    <a:stretch>
                      <a:fillRect/>
                    </a:stretch>
                  </pic:blipFill>
                  <pic:spPr>
                    <a:xfrm>
                      <a:off x="0" y="0"/>
                      <a:ext cx="4822787" cy="3400192"/>
                    </a:xfrm>
                    <a:prstGeom prst="rect">
                      <a:avLst/>
                    </a:prstGeom>
                  </pic:spPr>
                </pic:pic>
              </a:graphicData>
            </a:graphic>
          </wp:inline>
        </w:drawing>
      </w:r>
    </w:p>
    <w:p w14:paraId="7130D46A" w14:textId="2097AE12" w:rsidR="001E79F8" w:rsidRPr="0017428E" w:rsidRDefault="0017428E" w:rsidP="0017428E">
      <w:pPr>
        <w:autoSpaceDE w:val="0"/>
        <w:autoSpaceDN w:val="0"/>
        <w:adjustRightInd w:val="0"/>
        <w:spacing w:after="40" w:line="288" w:lineRule="auto"/>
        <w:ind w:right="1559"/>
        <w:jc w:val="both"/>
        <w:rPr>
          <w:rFonts w:ascii="Arial" w:eastAsia="MS Mincho" w:hAnsi="Arial"/>
          <w:b/>
          <w:color w:val="000000"/>
          <w:sz w:val="16"/>
          <w:szCs w:val="18"/>
        </w:rPr>
      </w:pPr>
      <w:r w:rsidRPr="0017428E">
        <w:rPr>
          <w:rFonts w:ascii="Arial" w:eastAsia="MS Mincho" w:hAnsi="Arial"/>
          <w:color w:val="000000"/>
          <w:sz w:val="16"/>
          <w:szCs w:val="16"/>
        </w:rPr>
        <w:t xml:space="preserve">The DMV 200 spindle range enables high-performance machining: starting with the </w:t>
      </w:r>
      <w:proofErr w:type="spellStart"/>
      <w:r w:rsidRPr="0017428E">
        <w:rPr>
          <w:rFonts w:ascii="Arial" w:eastAsia="MS Mincho" w:hAnsi="Arial"/>
          <w:color w:val="000000"/>
          <w:sz w:val="16"/>
          <w:szCs w:val="16"/>
        </w:rPr>
        <w:t>inlineMASTER</w:t>
      </w:r>
      <w:proofErr w:type="spellEnd"/>
      <w:r w:rsidRPr="0017428E">
        <w:rPr>
          <w:rFonts w:ascii="Arial" w:eastAsia="MS Mincho" w:hAnsi="Arial"/>
          <w:color w:val="000000"/>
          <w:sz w:val="16"/>
          <w:szCs w:val="16"/>
        </w:rPr>
        <w:t xml:space="preserve"> </w:t>
      </w:r>
      <w:r w:rsidR="00717421">
        <w:rPr>
          <w:rFonts w:ascii="Arial" w:eastAsia="MS Mincho" w:hAnsi="Arial"/>
          <w:color w:val="000000"/>
          <w:sz w:val="16"/>
          <w:szCs w:val="16"/>
        </w:rPr>
        <w:br/>
      </w:r>
      <w:r w:rsidRPr="0017428E">
        <w:rPr>
          <w:rFonts w:ascii="Arial" w:eastAsia="MS Mincho" w:hAnsi="Arial"/>
          <w:color w:val="000000"/>
          <w:sz w:val="16"/>
          <w:szCs w:val="16"/>
        </w:rPr>
        <w:t xml:space="preserve">15,000 rpm, through the </w:t>
      </w:r>
      <w:proofErr w:type="spellStart"/>
      <w:r w:rsidRPr="0017428E">
        <w:rPr>
          <w:rFonts w:ascii="Arial" w:eastAsia="MS Mincho" w:hAnsi="Arial"/>
          <w:color w:val="000000"/>
          <w:sz w:val="16"/>
          <w:szCs w:val="16"/>
        </w:rPr>
        <w:t>speedMASTER</w:t>
      </w:r>
      <w:proofErr w:type="spellEnd"/>
      <w:r w:rsidRPr="0017428E">
        <w:rPr>
          <w:rFonts w:ascii="Arial" w:eastAsia="MS Mincho" w:hAnsi="Arial"/>
          <w:color w:val="000000"/>
          <w:sz w:val="16"/>
          <w:szCs w:val="16"/>
        </w:rPr>
        <w:t xml:space="preserve"> 15,000 rpm HT &amp; 20,000 rpm, to the </w:t>
      </w:r>
      <w:proofErr w:type="spellStart"/>
      <w:r w:rsidRPr="0017428E">
        <w:rPr>
          <w:rFonts w:ascii="Arial" w:eastAsia="MS Mincho" w:hAnsi="Arial"/>
          <w:color w:val="000000"/>
          <w:sz w:val="16"/>
          <w:szCs w:val="16"/>
        </w:rPr>
        <w:t>powerMASTER</w:t>
      </w:r>
      <w:proofErr w:type="spellEnd"/>
      <w:r w:rsidRPr="0017428E">
        <w:rPr>
          <w:rFonts w:ascii="Arial" w:eastAsia="MS Mincho" w:hAnsi="Arial"/>
          <w:color w:val="000000"/>
          <w:sz w:val="16"/>
          <w:szCs w:val="16"/>
        </w:rPr>
        <w:t xml:space="preserve"> with a torque of 430 Nm for heavy-duty machining of titanium alloys or stainless steel - all with BIG PLUS interface and 36-month warranty.</w:t>
      </w:r>
    </w:p>
    <w:p w14:paraId="7036B65A" w14:textId="77777777" w:rsidR="001E79F8" w:rsidRPr="0017428E" w:rsidRDefault="001E79F8" w:rsidP="00410979">
      <w:pPr>
        <w:autoSpaceDE w:val="0"/>
        <w:autoSpaceDN w:val="0"/>
        <w:adjustRightInd w:val="0"/>
        <w:spacing w:after="40" w:line="288" w:lineRule="auto"/>
        <w:ind w:right="-7"/>
        <w:jc w:val="both"/>
        <w:rPr>
          <w:rFonts w:ascii="Arial" w:eastAsia="MS Mincho" w:hAnsi="Arial"/>
          <w:b/>
          <w:color w:val="000000"/>
          <w:sz w:val="16"/>
          <w:szCs w:val="18"/>
        </w:rPr>
      </w:pPr>
    </w:p>
    <w:p w14:paraId="29DCEEA6" w14:textId="77777777" w:rsidR="001E79F8" w:rsidRPr="0017428E" w:rsidRDefault="001E79F8" w:rsidP="00410979">
      <w:pPr>
        <w:autoSpaceDE w:val="0"/>
        <w:autoSpaceDN w:val="0"/>
        <w:adjustRightInd w:val="0"/>
        <w:spacing w:after="40" w:line="288" w:lineRule="auto"/>
        <w:ind w:right="-7"/>
        <w:jc w:val="both"/>
        <w:rPr>
          <w:rFonts w:ascii="Arial" w:eastAsia="MS Mincho" w:hAnsi="Arial"/>
          <w:b/>
          <w:color w:val="000000"/>
          <w:sz w:val="16"/>
          <w:szCs w:val="18"/>
        </w:rPr>
      </w:pPr>
    </w:p>
    <w:p w14:paraId="4EE784CC" w14:textId="77777777" w:rsidR="00A95B28" w:rsidRPr="00BD2011" w:rsidRDefault="00A95B28" w:rsidP="00A95B28">
      <w:pPr>
        <w:autoSpaceDE w:val="0"/>
        <w:autoSpaceDN w:val="0"/>
        <w:adjustRightInd w:val="0"/>
        <w:spacing w:after="40" w:line="269" w:lineRule="auto"/>
        <w:ind w:right="1977"/>
        <w:jc w:val="both"/>
        <w:rPr>
          <w:rFonts w:ascii="Arial" w:eastAsia="MS Mincho" w:hAnsi="Arial"/>
          <w:b/>
          <w:sz w:val="16"/>
          <w:szCs w:val="18"/>
        </w:rPr>
      </w:pPr>
      <w:r w:rsidRPr="00BD2011">
        <w:rPr>
          <w:rFonts w:ascii="Arial" w:eastAsia="MS Mincho" w:hAnsi="Arial"/>
          <w:b/>
          <w:sz w:val="16"/>
          <w:szCs w:val="18"/>
        </w:rPr>
        <w:t xml:space="preserve">Company Profile // DMG MORI </w:t>
      </w:r>
    </w:p>
    <w:p w14:paraId="22DE614D" w14:textId="77777777" w:rsidR="00A95B28" w:rsidRPr="009D4FB9" w:rsidRDefault="00A95B28" w:rsidP="00A95B28">
      <w:pPr>
        <w:spacing w:after="40" w:line="269" w:lineRule="auto"/>
        <w:ind w:right="1977"/>
        <w:jc w:val="both"/>
        <w:rPr>
          <w:rFonts w:ascii="Arial" w:eastAsia="MS Mincho" w:hAnsi="Arial"/>
          <w:bCs/>
          <w:noProof/>
          <w:sz w:val="16"/>
          <w:szCs w:val="18"/>
          <w:lang w:eastAsia="de-DE"/>
        </w:rPr>
      </w:pPr>
      <w:r w:rsidRPr="009D4FB9">
        <w:rPr>
          <w:rFonts w:ascii="Arial" w:eastAsia="MS Mincho" w:hAnsi="Arial"/>
          <w:bCs/>
          <w:noProof/>
          <w:sz w:val="16"/>
          <w:szCs w:val="18"/>
          <w:lang w:eastAsia="de-DE"/>
        </w:rPr>
        <w:t>DMG MORI is a leading global manufacturer of high-precision machine tools and is represented in 44 countries - with 124 sales and service locations, including 17 production plants. In the “Global One Company”, more than 13,500 employees drive the development of holistic solutions in the manufacturing environment. DMG MORI combines four pillars for the efficient and sustainable production of the future under the Machining Transformation (MX) concept: process integration, automation, digital transformation (DX) and green transformation (GX).</w:t>
      </w:r>
    </w:p>
    <w:p w14:paraId="48477C9F" w14:textId="77777777" w:rsidR="00A95B28" w:rsidRPr="009D4FB9" w:rsidRDefault="00A95B28" w:rsidP="00A95B28">
      <w:pPr>
        <w:spacing w:after="40" w:line="269" w:lineRule="auto"/>
        <w:ind w:right="1977"/>
        <w:jc w:val="both"/>
        <w:rPr>
          <w:rFonts w:ascii="Arial" w:eastAsia="MS Mincho" w:hAnsi="Arial"/>
          <w:bCs/>
          <w:noProof/>
          <w:sz w:val="16"/>
          <w:szCs w:val="18"/>
          <w:lang w:eastAsia="de-DE"/>
        </w:rPr>
      </w:pPr>
    </w:p>
    <w:p w14:paraId="7984BBB2" w14:textId="77777777" w:rsidR="00A95B28" w:rsidRPr="009D4FB9" w:rsidRDefault="00A95B28" w:rsidP="00A95B28">
      <w:pPr>
        <w:spacing w:after="40" w:line="269" w:lineRule="auto"/>
        <w:ind w:right="1977"/>
        <w:jc w:val="both"/>
        <w:rPr>
          <w:rFonts w:ascii="Arial" w:eastAsia="MS Mincho" w:hAnsi="Arial"/>
          <w:bCs/>
          <w:noProof/>
          <w:sz w:val="16"/>
          <w:szCs w:val="18"/>
          <w:lang w:eastAsia="de-DE"/>
        </w:rPr>
      </w:pPr>
      <w:r w:rsidRPr="009D4FB9">
        <w:rPr>
          <w:rFonts w:ascii="Arial" w:eastAsia="MS Mincho" w:hAnsi="Arial"/>
          <w:bCs/>
          <w:noProof/>
          <w:sz w:val="16"/>
          <w:szCs w:val="18"/>
          <w:lang w:eastAsia="de-DE"/>
        </w:rPr>
        <w:t>DMG MORI stands for innovation, quality and precision. Our portfolio includes sustainable manufacturing solutions based on turning, milling, grinding, drilling, ultrasonic, lasertec and additive manufacturing technologies. With technology integration, end-to-end automation and digitalization solutions, we make it possible to increase productivity and resource efficiency at the same time.</w:t>
      </w:r>
    </w:p>
    <w:p w14:paraId="742196FE" w14:textId="77777777" w:rsidR="00A95B28" w:rsidRPr="009D4FB9" w:rsidRDefault="00A95B28" w:rsidP="00A95B28">
      <w:pPr>
        <w:spacing w:after="40" w:line="269" w:lineRule="auto"/>
        <w:ind w:right="1977"/>
        <w:jc w:val="both"/>
        <w:rPr>
          <w:rFonts w:ascii="Arial" w:eastAsia="MS Mincho" w:hAnsi="Arial"/>
          <w:bCs/>
          <w:noProof/>
          <w:sz w:val="16"/>
          <w:szCs w:val="18"/>
          <w:lang w:eastAsia="de-DE"/>
        </w:rPr>
      </w:pPr>
    </w:p>
    <w:p w14:paraId="47AA8DE0" w14:textId="77777777" w:rsidR="00A95B28" w:rsidRPr="009D4FB9" w:rsidRDefault="00A95B28" w:rsidP="00A95B28">
      <w:pPr>
        <w:spacing w:after="40" w:line="269" w:lineRule="auto"/>
        <w:ind w:right="1977"/>
        <w:jc w:val="both"/>
        <w:rPr>
          <w:rFonts w:ascii="Arial" w:eastAsia="MS Mincho" w:hAnsi="Arial"/>
          <w:bCs/>
          <w:noProof/>
          <w:sz w:val="16"/>
          <w:szCs w:val="18"/>
          <w:lang w:eastAsia="de-DE"/>
        </w:rPr>
      </w:pPr>
      <w:r w:rsidRPr="009D4FB9">
        <w:rPr>
          <w:rFonts w:ascii="Arial" w:eastAsia="MS Mincho" w:hAnsi="Arial"/>
          <w:bCs/>
          <w:noProof/>
          <w:sz w:val="16"/>
          <w:szCs w:val="18"/>
          <w:lang w:eastAsia="de-DE"/>
        </w:rPr>
        <w:t>At our production sites, we implement integrated turnkey solutions for the leading sectors of Aviation &amp; Space, Automotive &amp; E-Mobility, Die &amp; Mold, Medical and Semiconductor. With the DMG MORI Qualified Products (DMQP) partner program, we offer perfectly matched peripheral products from a single source. Our customer-oriented services accompany the entire life cycle of a machine tool - including training, repair, maintenance and spare parts service.</w:t>
      </w:r>
    </w:p>
    <w:p w14:paraId="7511B119" w14:textId="77777777" w:rsidR="00A95B28" w:rsidRPr="009D4FB9" w:rsidRDefault="00A95B28" w:rsidP="00A95B28">
      <w:pPr>
        <w:spacing w:after="40" w:line="269" w:lineRule="auto"/>
        <w:ind w:right="1977"/>
        <w:jc w:val="both"/>
        <w:rPr>
          <w:rFonts w:ascii="Arial" w:eastAsia="MS Mincho" w:hAnsi="Arial"/>
          <w:bCs/>
          <w:noProof/>
          <w:sz w:val="16"/>
          <w:szCs w:val="18"/>
          <w:lang w:eastAsia="de-DE"/>
        </w:rPr>
      </w:pPr>
    </w:p>
    <w:p w14:paraId="299E7E06" w14:textId="74027053" w:rsidR="00410979" w:rsidRPr="00AF3717" w:rsidRDefault="00120FE4" w:rsidP="00AF3717">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410979" w:rsidRPr="00AF3717" w:rsidSect="00410979">
      <w:headerReference w:type="even" r:id="rId12"/>
      <w:headerReference w:type="default" r:id="rId13"/>
      <w:footerReference w:type="even" r:id="rId14"/>
      <w:footerReference w:type="default" r:id="rId15"/>
      <w:headerReference w:type="first" r:id="rId16"/>
      <w:footerReference w:type="first" r:id="rId17"/>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65ADDA" w14:textId="77777777" w:rsidR="002060DB" w:rsidRDefault="002060DB" w:rsidP="003F4354">
      <w:pPr>
        <w:spacing w:after="0" w:line="240" w:lineRule="auto"/>
      </w:pPr>
      <w:r>
        <w:separator/>
      </w:r>
    </w:p>
  </w:endnote>
  <w:endnote w:type="continuationSeparator" w:id="0">
    <w:p w14:paraId="5DF71904" w14:textId="77777777" w:rsidR="002060DB" w:rsidRDefault="002060DB"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4D"/>
    <w:family w:val="swiss"/>
    <w:notTrueType/>
    <w:pitch w:val="variable"/>
    <w:sig w:usb0="00000003" w:usb1="00000000" w:usb2="00000000" w:usb3="00000000" w:csb0="00000093"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1ABC26" w14:textId="77777777" w:rsidR="00CA59CB" w:rsidRDefault="00CA59C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 Verbindung 3" style="position:absolute;flip:y;z-index:25166438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69B5F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D602A" w14:textId="77777777" w:rsidR="00CA59CB" w:rsidRDefault="00CA59C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EF324" w14:textId="77777777" w:rsidR="002060DB" w:rsidRDefault="002060DB" w:rsidP="003F4354">
      <w:pPr>
        <w:spacing w:after="0" w:line="240" w:lineRule="auto"/>
      </w:pPr>
      <w:r>
        <w:separator/>
      </w:r>
    </w:p>
  </w:footnote>
  <w:footnote w:type="continuationSeparator" w:id="0">
    <w:p w14:paraId="689AEF32" w14:textId="77777777" w:rsidR="002060DB" w:rsidRDefault="002060DB"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08DEA3" w14:textId="77777777" w:rsidR="00CA59CB" w:rsidRDefault="00CA59C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010ED3"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3B451A50"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812014">
                            <w:rPr>
                              <w:rFonts w:ascii="Arial Fett" w:hAnsi="Arial Fett" w:cs="Arial"/>
                              <w:b/>
                              <w:caps/>
                              <w:color w:val="4C4C4C"/>
                              <w:spacing w:val="10"/>
                              <w:sz w:val="18"/>
                              <w:szCs w:val="18"/>
                            </w:rPr>
                            <w:t xml:space="preserve">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3B451A50"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812014">
                      <w:rPr>
                        <w:rFonts w:ascii="Arial Fett" w:hAnsi="Arial Fett" w:cs="Arial"/>
                        <w:b/>
                        <w:caps/>
                        <w:color w:val="4C4C4C"/>
                        <w:spacing w:val="10"/>
                        <w:sz w:val="18"/>
                        <w:szCs w:val="18"/>
                      </w:rPr>
                      <w:t xml:space="preserve">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8240"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010ED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010ED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010ED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58244"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3"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336F4EA2" w:rsidR="003F4354" w:rsidRPr="00812014" w:rsidRDefault="00812014" w:rsidP="003F4354">
                          <w:pPr>
                            <w:pStyle w:val="EinfAbs"/>
                            <w:spacing w:line="276" w:lineRule="auto"/>
                            <w:rPr>
                              <w:rFonts w:ascii="Arial" w:hAnsi="Arial" w:cs="Arial"/>
                              <w:b/>
                              <w:bCs/>
                              <w:color w:val="595959"/>
                              <w:position w:val="2"/>
                              <w:sz w:val="16"/>
                              <w:szCs w:val="16"/>
                              <w:lang w:val="en-US"/>
                            </w:rPr>
                          </w:pPr>
                          <w:r w:rsidRPr="00812014">
                            <w:rPr>
                              <w:rFonts w:ascii="Arial" w:hAnsi="Arial" w:cs="Arial"/>
                              <w:b/>
                              <w:bCs/>
                              <w:color w:val="4C4C4C"/>
                              <w:position w:val="2"/>
                              <w:sz w:val="16"/>
                              <w:szCs w:val="16"/>
                              <w:lang w:val="en-US"/>
                            </w:rPr>
                            <w:t>Contact</w:t>
                          </w:r>
                          <w:r w:rsidR="003F4354" w:rsidRPr="00812014">
                            <w:rPr>
                              <w:rFonts w:ascii="Arial" w:hAnsi="Arial" w:cs="Arial"/>
                              <w:b/>
                              <w:bCs/>
                              <w:color w:val="4C4C4C"/>
                              <w:position w:val="2"/>
                              <w:sz w:val="16"/>
                              <w:szCs w:val="16"/>
                              <w:lang w:val="en-US"/>
                            </w:rPr>
                            <w:t xml:space="preserve"> </w:t>
                          </w:r>
                          <w:r w:rsidR="003F4354" w:rsidRPr="00812014">
                            <w:rPr>
                              <w:rFonts w:ascii="Arial" w:hAnsi="Arial" w:cs="Arial"/>
                              <w:b/>
                              <w:bCs/>
                              <w:color w:val="595959"/>
                              <w:position w:val="2"/>
                              <w:sz w:val="16"/>
                              <w:szCs w:val="16"/>
                              <w:lang w:val="en-US"/>
                            </w:rPr>
                            <w:t>Technical Communication:</w:t>
                          </w:r>
                        </w:p>
                        <w:p w14:paraId="6EE38F4A" w14:textId="77777777" w:rsidR="003F4354" w:rsidRPr="00812014" w:rsidRDefault="003F4354" w:rsidP="003F4354">
                          <w:pPr>
                            <w:pStyle w:val="EinfAbs"/>
                            <w:tabs>
                              <w:tab w:val="left" w:pos="454"/>
                            </w:tabs>
                            <w:spacing w:line="276" w:lineRule="auto"/>
                            <w:rPr>
                              <w:rFonts w:ascii="Arial" w:hAnsi="Arial" w:cs="Arial"/>
                              <w:color w:val="4C4C4C"/>
                              <w:position w:val="2"/>
                              <w:sz w:val="16"/>
                              <w:szCs w:val="16"/>
                              <w:lang w:val="en-US"/>
                            </w:rPr>
                          </w:pPr>
                          <w:r w:rsidRPr="00812014">
                            <w:rPr>
                              <w:rFonts w:ascii="Arial" w:hAnsi="Arial" w:cs="Arial"/>
                              <w:color w:val="4C4C4C"/>
                              <w:position w:val="2"/>
                              <w:sz w:val="16"/>
                              <w:szCs w:val="16"/>
                              <w:lang w:val="en-US"/>
                            </w:rPr>
                            <w:t>Eva Manzenreiter</w:t>
                          </w:r>
                        </w:p>
                        <w:p w14:paraId="73724079" w14:textId="77777777" w:rsidR="00CA59CB" w:rsidRPr="00CA59CB" w:rsidRDefault="00CA59CB" w:rsidP="00CA59CB">
                          <w:pPr>
                            <w:pStyle w:val="EinfAbs"/>
                            <w:rPr>
                              <w:rFonts w:ascii="Arial" w:hAnsi="Arial"/>
                              <w:color w:val="4C4C4C"/>
                              <w:position w:val="2"/>
                              <w:sz w:val="16"/>
                              <w:szCs w:val="16"/>
                            </w:rPr>
                          </w:pPr>
                          <w:r w:rsidRPr="00CA59CB">
                            <w:rPr>
                              <w:rFonts w:ascii="Arial" w:hAnsi="Arial"/>
                              <w:color w:val="4C4C4C"/>
                              <w:position w:val="2"/>
                              <w:sz w:val="16"/>
                              <w:szCs w:val="16"/>
                            </w:rPr>
                            <w:t>DMG MORI EMEA Holding GmbH</w:t>
                          </w:r>
                        </w:p>
                        <w:p w14:paraId="2AFD0A63" w14:textId="30E8F0FF" w:rsidR="003F4354" w:rsidRPr="00812014" w:rsidRDefault="003F4354" w:rsidP="00CA59CB">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336F4EA2" w:rsidR="003F4354" w:rsidRPr="00812014" w:rsidRDefault="00812014" w:rsidP="003F4354">
                    <w:pPr>
                      <w:pStyle w:val="EinfAbs"/>
                      <w:spacing w:line="276" w:lineRule="auto"/>
                      <w:rPr>
                        <w:rFonts w:ascii="Arial" w:hAnsi="Arial" w:cs="Arial"/>
                        <w:b/>
                        <w:bCs/>
                        <w:color w:val="595959"/>
                        <w:position w:val="2"/>
                        <w:sz w:val="16"/>
                        <w:szCs w:val="16"/>
                        <w:lang w:val="en-US"/>
                      </w:rPr>
                    </w:pPr>
                    <w:r w:rsidRPr="00812014">
                      <w:rPr>
                        <w:rFonts w:ascii="Arial" w:hAnsi="Arial" w:cs="Arial"/>
                        <w:b/>
                        <w:bCs/>
                        <w:color w:val="4C4C4C"/>
                        <w:position w:val="2"/>
                        <w:sz w:val="16"/>
                        <w:szCs w:val="16"/>
                        <w:lang w:val="en-US"/>
                      </w:rPr>
                      <w:t>Contact</w:t>
                    </w:r>
                    <w:r w:rsidR="003F4354" w:rsidRPr="00812014">
                      <w:rPr>
                        <w:rFonts w:ascii="Arial" w:hAnsi="Arial" w:cs="Arial"/>
                        <w:b/>
                        <w:bCs/>
                        <w:color w:val="4C4C4C"/>
                        <w:position w:val="2"/>
                        <w:sz w:val="16"/>
                        <w:szCs w:val="16"/>
                        <w:lang w:val="en-US"/>
                      </w:rPr>
                      <w:t xml:space="preserve"> </w:t>
                    </w:r>
                    <w:r w:rsidR="003F4354" w:rsidRPr="00812014">
                      <w:rPr>
                        <w:rFonts w:ascii="Arial" w:hAnsi="Arial" w:cs="Arial"/>
                        <w:b/>
                        <w:bCs/>
                        <w:color w:val="595959"/>
                        <w:position w:val="2"/>
                        <w:sz w:val="16"/>
                        <w:szCs w:val="16"/>
                        <w:lang w:val="en-US"/>
                      </w:rPr>
                      <w:t>Technical Communication:</w:t>
                    </w:r>
                  </w:p>
                  <w:p w14:paraId="6EE38F4A" w14:textId="77777777" w:rsidR="003F4354" w:rsidRPr="00812014" w:rsidRDefault="003F4354" w:rsidP="003F4354">
                    <w:pPr>
                      <w:pStyle w:val="EinfAbs"/>
                      <w:tabs>
                        <w:tab w:val="left" w:pos="454"/>
                      </w:tabs>
                      <w:spacing w:line="276" w:lineRule="auto"/>
                      <w:rPr>
                        <w:rFonts w:ascii="Arial" w:hAnsi="Arial" w:cs="Arial"/>
                        <w:color w:val="4C4C4C"/>
                        <w:position w:val="2"/>
                        <w:sz w:val="16"/>
                        <w:szCs w:val="16"/>
                        <w:lang w:val="en-US"/>
                      </w:rPr>
                    </w:pPr>
                    <w:r w:rsidRPr="00812014">
                      <w:rPr>
                        <w:rFonts w:ascii="Arial" w:hAnsi="Arial" w:cs="Arial"/>
                        <w:color w:val="4C4C4C"/>
                        <w:position w:val="2"/>
                        <w:sz w:val="16"/>
                        <w:szCs w:val="16"/>
                        <w:lang w:val="en-US"/>
                      </w:rPr>
                      <w:t>Eva Manzenreiter</w:t>
                    </w:r>
                  </w:p>
                  <w:p w14:paraId="73724079" w14:textId="77777777" w:rsidR="00CA59CB" w:rsidRPr="00CA59CB" w:rsidRDefault="00CA59CB" w:rsidP="00CA59CB">
                    <w:pPr>
                      <w:pStyle w:val="EinfAbs"/>
                      <w:rPr>
                        <w:rFonts w:ascii="Arial" w:hAnsi="Arial"/>
                        <w:color w:val="4C4C4C"/>
                        <w:position w:val="2"/>
                        <w:sz w:val="16"/>
                        <w:szCs w:val="16"/>
                      </w:rPr>
                    </w:pPr>
                    <w:r w:rsidRPr="00CA59CB">
                      <w:rPr>
                        <w:rFonts w:ascii="Arial" w:hAnsi="Arial"/>
                        <w:color w:val="4C4C4C"/>
                        <w:position w:val="2"/>
                        <w:sz w:val="16"/>
                        <w:szCs w:val="16"/>
                      </w:rPr>
                      <w:t>DMG MORI EMEA Holding GmbH</w:t>
                    </w:r>
                  </w:p>
                  <w:p w14:paraId="2AFD0A63" w14:textId="30E8F0FF" w:rsidR="003F4354" w:rsidRPr="00812014" w:rsidRDefault="003F4354" w:rsidP="00CA59CB">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0"/>
    <w:bookmarkEnd w:id="1"/>
  </w:p>
  <w:p w14:paraId="7FE8E95A" w14:textId="77777777" w:rsidR="003F4354" w:rsidRDefault="001476F8">
    <w:pPr>
      <w:pStyle w:val="Kopfzeile"/>
    </w:pPr>
    <w:r>
      <w:rPr>
        <w:noProof/>
      </w:rPr>
      <mc:AlternateContent>
        <mc:Choice Requires="wps">
          <w:drawing>
            <wp:anchor distT="4294967294" distB="4294967294" distL="114300" distR="114300" simplePos="0" relativeHeight="25165824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Gerade Verbindung 5" style="position:absolute;flip:y;z-index:251656192;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58E43E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0F435" w14:textId="77777777" w:rsidR="00CA59CB" w:rsidRDefault="00CA59C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1A58"/>
    <w:rsid w:val="00002625"/>
    <w:rsid w:val="0000741D"/>
    <w:rsid w:val="00010ED3"/>
    <w:rsid w:val="000408B9"/>
    <w:rsid w:val="0004394C"/>
    <w:rsid w:val="000457ED"/>
    <w:rsid w:val="000712AB"/>
    <w:rsid w:val="00072DEF"/>
    <w:rsid w:val="0007317E"/>
    <w:rsid w:val="000743B8"/>
    <w:rsid w:val="00094C77"/>
    <w:rsid w:val="000C5940"/>
    <w:rsid w:val="000C5DE0"/>
    <w:rsid w:val="000E7FC8"/>
    <w:rsid w:val="00120FE4"/>
    <w:rsid w:val="00121EA1"/>
    <w:rsid w:val="00127A03"/>
    <w:rsid w:val="0014034B"/>
    <w:rsid w:val="001476F8"/>
    <w:rsid w:val="0015648B"/>
    <w:rsid w:val="00165F0B"/>
    <w:rsid w:val="0017428E"/>
    <w:rsid w:val="001906A8"/>
    <w:rsid w:val="00194AEB"/>
    <w:rsid w:val="001A10AF"/>
    <w:rsid w:val="001B29BD"/>
    <w:rsid w:val="001E79F8"/>
    <w:rsid w:val="00200FC3"/>
    <w:rsid w:val="002060DB"/>
    <w:rsid w:val="00213259"/>
    <w:rsid w:val="002509C9"/>
    <w:rsid w:val="002541C8"/>
    <w:rsid w:val="0027720C"/>
    <w:rsid w:val="002821F4"/>
    <w:rsid w:val="002A6B67"/>
    <w:rsid w:val="002A72E1"/>
    <w:rsid w:val="003110F3"/>
    <w:rsid w:val="00363954"/>
    <w:rsid w:val="00367111"/>
    <w:rsid w:val="00396623"/>
    <w:rsid w:val="003B771E"/>
    <w:rsid w:val="003C05E6"/>
    <w:rsid w:val="003D3AF6"/>
    <w:rsid w:val="003E155F"/>
    <w:rsid w:val="003F4354"/>
    <w:rsid w:val="003F59C4"/>
    <w:rsid w:val="00410979"/>
    <w:rsid w:val="004147C7"/>
    <w:rsid w:val="004209AF"/>
    <w:rsid w:val="004430AD"/>
    <w:rsid w:val="00447267"/>
    <w:rsid w:val="00461D31"/>
    <w:rsid w:val="00462F90"/>
    <w:rsid w:val="004A5B66"/>
    <w:rsid w:val="004D575D"/>
    <w:rsid w:val="004E26A3"/>
    <w:rsid w:val="004F22AB"/>
    <w:rsid w:val="004F2656"/>
    <w:rsid w:val="004F4CDE"/>
    <w:rsid w:val="00504025"/>
    <w:rsid w:val="00522BC7"/>
    <w:rsid w:val="00551701"/>
    <w:rsid w:val="00585878"/>
    <w:rsid w:val="00592792"/>
    <w:rsid w:val="005C371D"/>
    <w:rsid w:val="005D49D0"/>
    <w:rsid w:val="005E02C5"/>
    <w:rsid w:val="005F5C91"/>
    <w:rsid w:val="006138C9"/>
    <w:rsid w:val="00617982"/>
    <w:rsid w:val="00621D29"/>
    <w:rsid w:val="00623353"/>
    <w:rsid w:val="00651DBC"/>
    <w:rsid w:val="00653E0A"/>
    <w:rsid w:val="006B7B02"/>
    <w:rsid w:val="006D5BEF"/>
    <w:rsid w:val="006E283F"/>
    <w:rsid w:val="00706EA1"/>
    <w:rsid w:val="00717039"/>
    <w:rsid w:val="00717421"/>
    <w:rsid w:val="0072354D"/>
    <w:rsid w:val="00726295"/>
    <w:rsid w:val="00730519"/>
    <w:rsid w:val="00736C55"/>
    <w:rsid w:val="0073706C"/>
    <w:rsid w:val="00753487"/>
    <w:rsid w:val="007B7B5F"/>
    <w:rsid w:val="007C4E57"/>
    <w:rsid w:val="00812014"/>
    <w:rsid w:val="008166EE"/>
    <w:rsid w:val="00834124"/>
    <w:rsid w:val="008421D4"/>
    <w:rsid w:val="00861340"/>
    <w:rsid w:val="0088430E"/>
    <w:rsid w:val="008C39F5"/>
    <w:rsid w:val="008E42C3"/>
    <w:rsid w:val="008F0FDD"/>
    <w:rsid w:val="00914FA3"/>
    <w:rsid w:val="00957D59"/>
    <w:rsid w:val="00991E6B"/>
    <w:rsid w:val="00994918"/>
    <w:rsid w:val="00A040D6"/>
    <w:rsid w:val="00A12134"/>
    <w:rsid w:val="00A134A7"/>
    <w:rsid w:val="00A33396"/>
    <w:rsid w:val="00A95B28"/>
    <w:rsid w:val="00AE1E07"/>
    <w:rsid w:val="00AF0C5E"/>
    <w:rsid w:val="00AF3717"/>
    <w:rsid w:val="00B1293E"/>
    <w:rsid w:val="00B137F4"/>
    <w:rsid w:val="00B26E1A"/>
    <w:rsid w:val="00B31498"/>
    <w:rsid w:val="00B45B4B"/>
    <w:rsid w:val="00B57A47"/>
    <w:rsid w:val="00B63B8B"/>
    <w:rsid w:val="00B67A53"/>
    <w:rsid w:val="00B85050"/>
    <w:rsid w:val="00B903B8"/>
    <w:rsid w:val="00B90ABE"/>
    <w:rsid w:val="00BD773C"/>
    <w:rsid w:val="00BF412D"/>
    <w:rsid w:val="00BF62FB"/>
    <w:rsid w:val="00C313E0"/>
    <w:rsid w:val="00C36793"/>
    <w:rsid w:val="00C40687"/>
    <w:rsid w:val="00C513C5"/>
    <w:rsid w:val="00C74C81"/>
    <w:rsid w:val="00C82D87"/>
    <w:rsid w:val="00CA59CB"/>
    <w:rsid w:val="00CB69A2"/>
    <w:rsid w:val="00D129F1"/>
    <w:rsid w:val="00D1470C"/>
    <w:rsid w:val="00D3597A"/>
    <w:rsid w:val="00D3653C"/>
    <w:rsid w:val="00D67734"/>
    <w:rsid w:val="00D94532"/>
    <w:rsid w:val="00D95102"/>
    <w:rsid w:val="00D970E2"/>
    <w:rsid w:val="00DB2830"/>
    <w:rsid w:val="00DB45BF"/>
    <w:rsid w:val="00DE10B5"/>
    <w:rsid w:val="00DE7D1E"/>
    <w:rsid w:val="00DF0749"/>
    <w:rsid w:val="00DF1364"/>
    <w:rsid w:val="00DF2B1F"/>
    <w:rsid w:val="00DF6E3F"/>
    <w:rsid w:val="00E16D5A"/>
    <w:rsid w:val="00E319AE"/>
    <w:rsid w:val="00E47C34"/>
    <w:rsid w:val="00E515D0"/>
    <w:rsid w:val="00E5362A"/>
    <w:rsid w:val="00E67CB6"/>
    <w:rsid w:val="00EA0655"/>
    <w:rsid w:val="00EB0975"/>
    <w:rsid w:val="00EC2140"/>
    <w:rsid w:val="00EC5A77"/>
    <w:rsid w:val="00ED0252"/>
    <w:rsid w:val="00EE1EE4"/>
    <w:rsid w:val="00EF5CD1"/>
    <w:rsid w:val="00F07EDE"/>
    <w:rsid w:val="00F26F51"/>
    <w:rsid w:val="00F31DA2"/>
    <w:rsid w:val="00F44F0A"/>
    <w:rsid w:val="00F57280"/>
    <w:rsid w:val="00F6787D"/>
    <w:rsid w:val="00F83350"/>
    <w:rsid w:val="00F8568C"/>
    <w:rsid w:val="00F945D0"/>
    <w:rsid w:val="00FC1E5E"/>
    <w:rsid w:val="00FF063F"/>
    <w:rsid w:val="00FF229B"/>
    <w:rsid w:val="04C0D1A6"/>
    <w:rsid w:val="0BAC5447"/>
    <w:rsid w:val="0D31E964"/>
    <w:rsid w:val="1AB5BDAF"/>
    <w:rsid w:val="1CE0761A"/>
    <w:rsid w:val="360A3B95"/>
    <w:rsid w:val="36A1E49B"/>
    <w:rsid w:val="38A59120"/>
    <w:rsid w:val="3A22B835"/>
    <w:rsid w:val="402764AF"/>
    <w:rsid w:val="405426A9"/>
    <w:rsid w:val="47076BB4"/>
    <w:rsid w:val="47203FAA"/>
    <w:rsid w:val="51952060"/>
    <w:rsid w:val="5686A225"/>
    <w:rsid w:val="58AC1F2D"/>
    <w:rsid w:val="7747871F"/>
    <w:rsid w:val="7DA4D66C"/>
    <w:rsid w:val="7E5E52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F02A5967-FE44-574F-BC1E-3E69E47BA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27A03"/>
    <w:rPr>
      <w:sz w:val="16"/>
      <w:szCs w:val="16"/>
    </w:rPr>
  </w:style>
  <w:style w:type="paragraph" w:styleId="Kommentartext">
    <w:name w:val="annotation text"/>
    <w:basedOn w:val="Standard"/>
    <w:link w:val="KommentartextZchn"/>
    <w:uiPriority w:val="99"/>
    <w:unhideWhenUsed/>
    <w:rsid w:val="00127A03"/>
    <w:pPr>
      <w:spacing w:line="240" w:lineRule="auto"/>
    </w:pPr>
    <w:rPr>
      <w:sz w:val="20"/>
      <w:szCs w:val="20"/>
    </w:rPr>
  </w:style>
  <w:style w:type="character" w:customStyle="1" w:styleId="KommentartextZchn">
    <w:name w:val="Kommentartext Zchn"/>
    <w:basedOn w:val="Absatz-Standardschriftart"/>
    <w:link w:val="Kommentartext"/>
    <w:uiPriority w:val="99"/>
    <w:rsid w:val="00127A03"/>
    <w:rPr>
      <w:lang w:val="en-US" w:eastAsia="en-US"/>
    </w:rPr>
  </w:style>
  <w:style w:type="paragraph" w:styleId="Kommentarthema">
    <w:name w:val="annotation subject"/>
    <w:basedOn w:val="Kommentartext"/>
    <w:next w:val="Kommentartext"/>
    <w:link w:val="KommentarthemaZchn"/>
    <w:uiPriority w:val="99"/>
    <w:semiHidden/>
    <w:unhideWhenUsed/>
    <w:rsid w:val="00127A03"/>
    <w:rPr>
      <w:b/>
      <w:bCs/>
    </w:rPr>
  </w:style>
  <w:style w:type="character" w:customStyle="1" w:styleId="KommentarthemaZchn">
    <w:name w:val="Kommentarthema Zchn"/>
    <w:basedOn w:val="KommentartextZchn"/>
    <w:link w:val="Kommentarthema"/>
    <w:uiPriority w:val="99"/>
    <w:semiHidden/>
    <w:rsid w:val="00127A03"/>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CC94933C-FCB5-493A-BC16-6F83F88EDF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736</Words>
  <Characters>4198</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44</cp:revision>
  <dcterms:created xsi:type="dcterms:W3CDTF">2025-07-28T15:14:00Z</dcterms:created>
  <dcterms:modified xsi:type="dcterms:W3CDTF">2025-09-15T09:58:00Z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